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FE29" w14:textId="77777777" w:rsidR="000E6E29" w:rsidRPr="000E6E29" w:rsidRDefault="000E6E29" w:rsidP="000E6E29">
      <w:pPr>
        <w:pStyle w:val="Heading1"/>
        <w:rPr>
          <w:rFonts w:ascii="Arial" w:hAnsi="Arial" w:cs="Arial"/>
          <w:color w:val="auto"/>
        </w:rPr>
      </w:pPr>
      <w:r w:rsidRPr="000E6E29">
        <w:rPr>
          <w:rFonts w:ascii="Arial" w:hAnsi="Arial" w:cs="Arial"/>
          <w:color w:val="auto"/>
        </w:rPr>
        <w:t>Medi-Cal Notes to Rates</w:t>
      </w:r>
    </w:p>
    <w:p w14:paraId="457950A6" w14:textId="77777777" w:rsidR="000E6E29" w:rsidRPr="002242D8" w:rsidRDefault="000E6E29" w:rsidP="000E6E29">
      <w:pPr>
        <w:rPr>
          <w:rFonts w:ascii="Arial" w:hAnsi="Arial" w:cs="Arial"/>
          <w:sz w:val="24"/>
          <w:szCs w:val="24"/>
        </w:rPr>
      </w:pPr>
      <w:r w:rsidRPr="002242D8">
        <w:rPr>
          <w:rFonts w:ascii="Arial" w:hAnsi="Arial" w:cs="Arial"/>
          <w:sz w:val="24"/>
          <w:szCs w:val="24"/>
        </w:rPr>
        <w:t>Medi-Cal Rates are updated and effective as of the 15th of the month and published to the Medi-Cal website on the 16th of the month</w:t>
      </w:r>
      <w:r w:rsidR="00B64EF4" w:rsidRPr="002242D8">
        <w:rPr>
          <w:rFonts w:ascii="Arial" w:hAnsi="Arial" w:cs="Arial"/>
          <w:sz w:val="24"/>
          <w:szCs w:val="24"/>
        </w:rPr>
        <w:t>.</w:t>
      </w:r>
    </w:p>
    <w:p w14:paraId="5A17BD68" w14:textId="77777777" w:rsidR="00B64EF4" w:rsidRPr="002242D8" w:rsidRDefault="000E6E29" w:rsidP="000E6E29">
      <w:pPr>
        <w:rPr>
          <w:rFonts w:ascii="Arial" w:hAnsi="Arial" w:cs="Arial"/>
          <w:sz w:val="24"/>
          <w:szCs w:val="24"/>
        </w:rPr>
      </w:pPr>
      <w:r w:rsidRPr="002242D8">
        <w:rPr>
          <w:rFonts w:ascii="Arial" w:hAnsi="Arial" w:cs="Arial"/>
          <w:sz w:val="24"/>
          <w:szCs w:val="24"/>
        </w:rPr>
        <w:t xml:space="preserve">The following information is provided to help you use the Rates worksheet. </w:t>
      </w:r>
    </w:p>
    <w:p w14:paraId="5BCA1519" w14:textId="77777777" w:rsidR="000E6E29" w:rsidRPr="002242D8" w:rsidRDefault="000E6E29" w:rsidP="000E6E29">
      <w:pPr>
        <w:rPr>
          <w:rFonts w:ascii="Arial" w:hAnsi="Arial" w:cs="Arial"/>
          <w:sz w:val="24"/>
          <w:szCs w:val="24"/>
        </w:rPr>
      </w:pPr>
      <w:r w:rsidRPr="002242D8">
        <w:rPr>
          <w:rFonts w:ascii="Arial" w:hAnsi="Arial" w:cs="Arial"/>
          <w:sz w:val="24"/>
          <w:szCs w:val="24"/>
        </w:rPr>
        <w:t>This file reflects Medi-Cal fee-for-service rate policy for the listed procedure codes. Medi-Cal’s major rate changes, if they occur, are usually initiated after enactment of the budget act in June, and are effective for dates of service on or after August 1. In general, Medi-Cal reimbursement may be lower than the rates shown if the provider’s charge is lower than the rate. Additionally, certain modifiers cause Medi-Cal reimbursement to be higher or lower than the rates shown.</w:t>
      </w:r>
    </w:p>
    <w:p w14:paraId="72984382" w14:textId="77777777" w:rsidR="000E6E29" w:rsidRPr="000E6E29" w:rsidRDefault="000E6E29" w:rsidP="000E6E29">
      <w:pPr>
        <w:rPr>
          <w:rFonts w:ascii="Arial" w:hAnsi="Arial" w:cs="Arial"/>
        </w:rPr>
      </w:pPr>
      <w:r w:rsidRPr="002242D8">
        <w:rPr>
          <w:rFonts w:ascii="Arial" w:hAnsi="Arial" w:cs="Arial"/>
          <w:sz w:val="24"/>
          <w:szCs w:val="24"/>
        </w:rPr>
        <w:t>Rates for the majority of California Children’s Services (CCS)-authorized physician services are 39.7 percent greater than the rate which would otherwise apply. To be reimbursed at the higher rate, providers billing the service must ensure that the service is authorized by the CCS program for a particular child. Augmented rates for CCS-authorized services are not specifically listed on the Rates worksheet.</w:t>
      </w:r>
    </w:p>
    <w:p w14:paraId="5662D3DA" w14:textId="2E51E915" w:rsidR="000E6E29" w:rsidRPr="000E6E29" w:rsidRDefault="00B64EF4" w:rsidP="000E6E29">
      <w:pPr>
        <w:pStyle w:val="Heading2"/>
        <w:rPr>
          <w:rFonts w:ascii="Arial" w:hAnsi="Arial" w:cs="Arial"/>
          <w:color w:val="auto"/>
        </w:rPr>
      </w:pPr>
      <w:r w:rsidRPr="000E6E29">
        <w:rPr>
          <w:rFonts w:ascii="Arial" w:hAnsi="Arial" w:cs="Arial"/>
          <w:color w:val="auto"/>
        </w:rPr>
        <w:t xml:space="preserve">Proc </w:t>
      </w:r>
      <w:r w:rsidR="000E6E29" w:rsidRPr="000E6E29">
        <w:rPr>
          <w:rFonts w:ascii="Arial" w:hAnsi="Arial" w:cs="Arial"/>
          <w:color w:val="auto"/>
        </w:rPr>
        <w:t>Type:</w:t>
      </w:r>
    </w:p>
    <w:p w14:paraId="28663554" w14:textId="77777777" w:rsidR="000E6E29" w:rsidRPr="002242D8" w:rsidRDefault="000E6E29" w:rsidP="000E6E29">
      <w:pPr>
        <w:rPr>
          <w:rFonts w:ascii="Arial" w:hAnsi="Arial" w:cs="Arial"/>
          <w:sz w:val="24"/>
          <w:szCs w:val="24"/>
        </w:rPr>
      </w:pPr>
      <w:r w:rsidRPr="002242D8">
        <w:rPr>
          <w:rFonts w:ascii="Arial" w:hAnsi="Arial" w:cs="Arial"/>
          <w:sz w:val="24"/>
          <w:szCs w:val="24"/>
        </w:rPr>
        <w:t>Denotes the procedure or record type. In this worksheet, records are uniquely defined by a combination of procedure type and procedure code. For example, this file contains three records for procedure code 10180, one record for procedure types K, O, and P.</w:t>
      </w:r>
    </w:p>
    <w:tbl>
      <w:tblPr>
        <w:tblStyle w:val="TableGrid"/>
        <w:tblW w:w="0" w:type="auto"/>
        <w:tblLook w:val="04A0" w:firstRow="1" w:lastRow="0" w:firstColumn="1" w:lastColumn="0" w:noHBand="0" w:noVBand="1"/>
        <w:tblCaption w:val="Procedure Type Table"/>
      </w:tblPr>
      <w:tblGrid>
        <w:gridCol w:w="4675"/>
        <w:gridCol w:w="4675"/>
      </w:tblGrid>
      <w:tr w:rsidR="000E6E29" w:rsidRPr="000E6E29" w14:paraId="42F4F8FE" w14:textId="77777777" w:rsidTr="002242D8">
        <w:trPr>
          <w:trHeight w:val="278"/>
          <w:tblHeader/>
        </w:trPr>
        <w:tc>
          <w:tcPr>
            <w:tcW w:w="4675" w:type="dxa"/>
          </w:tcPr>
          <w:p w14:paraId="741896E7" w14:textId="77777777" w:rsidR="000E6E29" w:rsidRPr="002242D8" w:rsidRDefault="000E6E29" w:rsidP="00682F1B">
            <w:pPr>
              <w:rPr>
                <w:rFonts w:ascii="Arial" w:hAnsi="Arial" w:cs="Arial"/>
                <w:b/>
                <w:sz w:val="24"/>
                <w:szCs w:val="24"/>
              </w:rPr>
            </w:pPr>
            <w:r w:rsidRPr="002242D8">
              <w:rPr>
                <w:rFonts w:ascii="Arial" w:hAnsi="Arial" w:cs="Arial"/>
                <w:b/>
                <w:sz w:val="24"/>
                <w:szCs w:val="24"/>
              </w:rPr>
              <w:t>Procedure Type</w:t>
            </w:r>
          </w:p>
        </w:tc>
        <w:tc>
          <w:tcPr>
            <w:tcW w:w="4675" w:type="dxa"/>
          </w:tcPr>
          <w:p w14:paraId="6E620F61" w14:textId="77777777" w:rsidR="000E6E29" w:rsidRPr="002242D8" w:rsidRDefault="000E6E29" w:rsidP="00682F1B">
            <w:pPr>
              <w:rPr>
                <w:rFonts w:ascii="Arial" w:hAnsi="Arial" w:cs="Arial"/>
                <w:b/>
                <w:sz w:val="24"/>
                <w:szCs w:val="24"/>
              </w:rPr>
            </w:pPr>
            <w:r w:rsidRPr="002242D8">
              <w:rPr>
                <w:rFonts w:ascii="Arial" w:hAnsi="Arial" w:cs="Arial"/>
                <w:b/>
                <w:sz w:val="24"/>
                <w:szCs w:val="24"/>
              </w:rPr>
              <w:t>Procedure</w:t>
            </w:r>
          </w:p>
        </w:tc>
      </w:tr>
      <w:tr w:rsidR="000E6E29" w:rsidRPr="000E6E29" w14:paraId="3DE1725F" w14:textId="77777777" w:rsidTr="000E6E29">
        <w:tc>
          <w:tcPr>
            <w:tcW w:w="4675" w:type="dxa"/>
          </w:tcPr>
          <w:p w14:paraId="4B0112BF" w14:textId="77777777" w:rsidR="000E6E29" w:rsidRPr="002242D8" w:rsidRDefault="000E6E29" w:rsidP="00682F1B">
            <w:pPr>
              <w:rPr>
                <w:rFonts w:ascii="Arial" w:hAnsi="Arial" w:cs="Arial"/>
                <w:sz w:val="24"/>
                <w:szCs w:val="24"/>
              </w:rPr>
            </w:pPr>
            <w:r w:rsidRPr="002242D8">
              <w:rPr>
                <w:rFonts w:ascii="Arial" w:hAnsi="Arial" w:cs="Arial"/>
                <w:sz w:val="24"/>
                <w:szCs w:val="24"/>
              </w:rPr>
              <w:t>"E"</w:t>
            </w:r>
          </w:p>
        </w:tc>
        <w:tc>
          <w:tcPr>
            <w:tcW w:w="4675" w:type="dxa"/>
          </w:tcPr>
          <w:p w14:paraId="03390780" w14:textId="77777777" w:rsidR="000E6E29" w:rsidRPr="002242D8" w:rsidRDefault="000E6E29" w:rsidP="00682F1B">
            <w:pPr>
              <w:rPr>
                <w:rFonts w:ascii="Arial" w:hAnsi="Arial" w:cs="Arial"/>
                <w:sz w:val="24"/>
                <w:szCs w:val="24"/>
              </w:rPr>
            </w:pPr>
            <w:r w:rsidRPr="002242D8">
              <w:rPr>
                <w:rFonts w:ascii="Arial" w:hAnsi="Arial" w:cs="Arial"/>
                <w:sz w:val="24"/>
                <w:szCs w:val="24"/>
              </w:rPr>
              <w:t>Local Educational Agency</w:t>
            </w:r>
          </w:p>
        </w:tc>
      </w:tr>
      <w:tr w:rsidR="000E6E29" w:rsidRPr="000E6E29" w14:paraId="23AEB362" w14:textId="77777777" w:rsidTr="000E6E29">
        <w:tc>
          <w:tcPr>
            <w:tcW w:w="4675" w:type="dxa"/>
          </w:tcPr>
          <w:p w14:paraId="0CED7B30" w14:textId="77777777" w:rsidR="000E6E29" w:rsidRPr="002242D8" w:rsidRDefault="000E6E29" w:rsidP="00682F1B">
            <w:pPr>
              <w:rPr>
                <w:rFonts w:ascii="Arial" w:hAnsi="Arial" w:cs="Arial"/>
                <w:sz w:val="24"/>
                <w:szCs w:val="24"/>
              </w:rPr>
            </w:pPr>
            <w:r w:rsidRPr="002242D8">
              <w:rPr>
                <w:rFonts w:ascii="Arial" w:hAnsi="Arial" w:cs="Arial"/>
                <w:sz w:val="24"/>
                <w:szCs w:val="24"/>
              </w:rPr>
              <w:t>"F"</w:t>
            </w:r>
          </w:p>
        </w:tc>
        <w:tc>
          <w:tcPr>
            <w:tcW w:w="4675" w:type="dxa"/>
          </w:tcPr>
          <w:p w14:paraId="0D9B8E4C" w14:textId="284572B8" w:rsidR="000E6E29" w:rsidRPr="002242D8" w:rsidRDefault="00F647F6" w:rsidP="00682F1B">
            <w:pPr>
              <w:rPr>
                <w:rFonts w:ascii="Arial" w:hAnsi="Arial" w:cs="Arial"/>
                <w:sz w:val="24"/>
                <w:szCs w:val="24"/>
              </w:rPr>
            </w:pPr>
            <w:r w:rsidRPr="00F647F6">
              <w:rPr>
                <w:rFonts w:ascii="Arial" w:hAnsi="Arial" w:cs="Arial"/>
                <w:sz w:val="24"/>
                <w:szCs w:val="24"/>
              </w:rPr>
              <w:t>Expanded Access to Primary Care</w:t>
            </w:r>
            <w:r>
              <w:rPr>
                <w:rFonts w:ascii="Arial" w:hAnsi="Arial" w:cs="Arial"/>
                <w:sz w:val="24"/>
                <w:szCs w:val="24"/>
              </w:rPr>
              <w:t xml:space="preserve"> (</w:t>
            </w:r>
            <w:r w:rsidR="000E6E29" w:rsidRPr="002242D8">
              <w:rPr>
                <w:rFonts w:ascii="Arial" w:hAnsi="Arial" w:cs="Arial"/>
                <w:sz w:val="24"/>
                <w:szCs w:val="24"/>
              </w:rPr>
              <w:t>EAPC</w:t>
            </w:r>
            <w:r>
              <w:rPr>
                <w:rFonts w:ascii="Arial" w:hAnsi="Arial" w:cs="Arial"/>
                <w:sz w:val="24"/>
                <w:szCs w:val="24"/>
              </w:rPr>
              <w:t>)</w:t>
            </w:r>
          </w:p>
        </w:tc>
      </w:tr>
      <w:tr w:rsidR="000E6E29" w:rsidRPr="000E6E29" w14:paraId="45FC1E10" w14:textId="77777777" w:rsidTr="000E6E29">
        <w:tc>
          <w:tcPr>
            <w:tcW w:w="4675" w:type="dxa"/>
          </w:tcPr>
          <w:p w14:paraId="00246BCE" w14:textId="77777777" w:rsidR="000E6E29" w:rsidRPr="002242D8" w:rsidRDefault="000E6E29" w:rsidP="00682F1B">
            <w:pPr>
              <w:rPr>
                <w:rFonts w:ascii="Arial" w:hAnsi="Arial" w:cs="Arial"/>
                <w:sz w:val="24"/>
                <w:szCs w:val="24"/>
              </w:rPr>
            </w:pPr>
            <w:r w:rsidRPr="002242D8">
              <w:rPr>
                <w:rFonts w:ascii="Arial" w:hAnsi="Arial" w:cs="Arial"/>
                <w:sz w:val="24"/>
                <w:szCs w:val="24"/>
              </w:rPr>
              <w:t>"G"</w:t>
            </w:r>
          </w:p>
        </w:tc>
        <w:tc>
          <w:tcPr>
            <w:tcW w:w="4675" w:type="dxa"/>
          </w:tcPr>
          <w:p w14:paraId="10486FF7" w14:textId="49E11886" w:rsidR="000E6E29" w:rsidRPr="002242D8" w:rsidRDefault="00DE7D1C" w:rsidP="00682F1B">
            <w:pPr>
              <w:rPr>
                <w:rFonts w:ascii="Arial" w:hAnsi="Arial" w:cs="Arial"/>
                <w:sz w:val="24"/>
                <w:szCs w:val="24"/>
              </w:rPr>
            </w:pPr>
            <w:r w:rsidRPr="00DE7D1C">
              <w:rPr>
                <w:rFonts w:ascii="Arial" w:hAnsi="Arial" w:cs="Arial"/>
                <w:sz w:val="24"/>
                <w:szCs w:val="28"/>
              </w:rPr>
              <w:t>Medi-Cal Waiver</w:t>
            </w:r>
          </w:p>
        </w:tc>
      </w:tr>
      <w:tr w:rsidR="000E6E29" w:rsidRPr="000E6E29" w14:paraId="04FF64F3" w14:textId="77777777" w:rsidTr="000E6E29">
        <w:tc>
          <w:tcPr>
            <w:tcW w:w="4675" w:type="dxa"/>
          </w:tcPr>
          <w:p w14:paraId="741A3105" w14:textId="77777777" w:rsidR="000E6E29" w:rsidRPr="002242D8" w:rsidRDefault="000E6E29" w:rsidP="00682F1B">
            <w:pPr>
              <w:rPr>
                <w:rFonts w:ascii="Arial" w:hAnsi="Arial" w:cs="Arial"/>
                <w:sz w:val="24"/>
                <w:szCs w:val="24"/>
              </w:rPr>
            </w:pPr>
            <w:r w:rsidRPr="002242D8">
              <w:rPr>
                <w:rFonts w:ascii="Arial" w:hAnsi="Arial" w:cs="Arial"/>
                <w:sz w:val="24"/>
                <w:szCs w:val="24"/>
              </w:rPr>
              <w:t>"I"</w:t>
            </w:r>
          </w:p>
        </w:tc>
        <w:tc>
          <w:tcPr>
            <w:tcW w:w="4675" w:type="dxa"/>
          </w:tcPr>
          <w:p w14:paraId="2BD77DBC" w14:textId="77777777" w:rsidR="000E6E29" w:rsidRPr="002242D8" w:rsidRDefault="000E6E29" w:rsidP="00682F1B">
            <w:pPr>
              <w:rPr>
                <w:rFonts w:ascii="Arial" w:hAnsi="Arial" w:cs="Arial"/>
                <w:sz w:val="24"/>
                <w:szCs w:val="24"/>
              </w:rPr>
            </w:pPr>
            <w:r w:rsidRPr="002242D8">
              <w:rPr>
                <w:rFonts w:ascii="Arial" w:hAnsi="Arial" w:cs="Arial"/>
                <w:sz w:val="24"/>
                <w:szCs w:val="24"/>
              </w:rPr>
              <w:t>Injection</w:t>
            </w:r>
          </w:p>
        </w:tc>
      </w:tr>
      <w:tr w:rsidR="000E6E29" w:rsidRPr="000E6E29" w14:paraId="7B4C23B4" w14:textId="77777777" w:rsidTr="000E6E29">
        <w:tc>
          <w:tcPr>
            <w:tcW w:w="4675" w:type="dxa"/>
          </w:tcPr>
          <w:p w14:paraId="54D074F9" w14:textId="77777777" w:rsidR="000E6E29" w:rsidRPr="002242D8" w:rsidRDefault="000E6E29" w:rsidP="00682F1B">
            <w:pPr>
              <w:rPr>
                <w:rFonts w:ascii="Arial" w:hAnsi="Arial" w:cs="Arial"/>
                <w:sz w:val="24"/>
                <w:szCs w:val="24"/>
              </w:rPr>
            </w:pPr>
            <w:r w:rsidRPr="002242D8">
              <w:rPr>
                <w:rFonts w:ascii="Arial" w:hAnsi="Arial" w:cs="Arial"/>
                <w:sz w:val="24"/>
                <w:szCs w:val="24"/>
              </w:rPr>
              <w:t>"J"</w:t>
            </w:r>
          </w:p>
        </w:tc>
        <w:tc>
          <w:tcPr>
            <w:tcW w:w="4675" w:type="dxa"/>
          </w:tcPr>
          <w:p w14:paraId="5C246539" w14:textId="77777777" w:rsidR="000E6E29" w:rsidRPr="002242D8" w:rsidRDefault="000E6E29" w:rsidP="00682F1B">
            <w:pPr>
              <w:rPr>
                <w:rFonts w:ascii="Arial" w:hAnsi="Arial" w:cs="Arial"/>
                <w:sz w:val="24"/>
                <w:szCs w:val="24"/>
              </w:rPr>
            </w:pPr>
            <w:r w:rsidRPr="002242D8">
              <w:rPr>
                <w:rFonts w:ascii="Arial" w:hAnsi="Arial" w:cs="Arial"/>
                <w:sz w:val="24"/>
                <w:szCs w:val="24"/>
              </w:rPr>
              <w:t>Anesthesia</w:t>
            </w:r>
          </w:p>
        </w:tc>
      </w:tr>
      <w:tr w:rsidR="000E6E29" w:rsidRPr="000E6E29" w14:paraId="713D1D86" w14:textId="77777777" w:rsidTr="000E6E29">
        <w:tc>
          <w:tcPr>
            <w:tcW w:w="4675" w:type="dxa"/>
          </w:tcPr>
          <w:p w14:paraId="3302B517" w14:textId="77777777" w:rsidR="000E6E29" w:rsidRPr="002242D8" w:rsidRDefault="000E6E29" w:rsidP="00682F1B">
            <w:pPr>
              <w:rPr>
                <w:rFonts w:ascii="Arial" w:hAnsi="Arial" w:cs="Arial"/>
                <w:sz w:val="24"/>
                <w:szCs w:val="24"/>
              </w:rPr>
            </w:pPr>
            <w:r w:rsidRPr="002242D8">
              <w:rPr>
                <w:rFonts w:ascii="Arial" w:hAnsi="Arial" w:cs="Arial"/>
                <w:sz w:val="24"/>
                <w:szCs w:val="24"/>
              </w:rPr>
              <w:t>"K"</w:t>
            </w:r>
          </w:p>
        </w:tc>
        <w:tc>
          <w:tcPr>
            <w:tcW w:w="4675" w:type="dxa"/>
          </w:tcPr>
          <w:p w14:paraId="09EA0136" w14:textId="77777777" w:rsidR="000E6E29" w:rsidRPr="002242D8" w:rsidRDefault="000E6E29" w:rsidP="00682F1B">
            <w:pPr>
              <w:rPr>
                <w:rFonts w:ascii="Arial" w:hAnsi="Arial" w:cs="Arial"/>
                <w:sz w:val="24"/>
                <w:szCs w:val="24"/>
              </w:rPr>
            </w:pPr>
            <w:r w:rsidRPr="002242D8">
              <w:rPr>
                <w:rFonts w:ascii="Arial" w:hAnsi="Arial" w:cs="Arial"/>
                <w:sz w:val="24"/>
                <w:szCs w:val="24"/>
              </w:rPr>
              <w:t>Primary Surgeon</w:t>
            </w:r>
          </w:p>
        </w:tc>
      </w:tr>
      <w:tr w:rsidR="000E6E29" w:rsidRPr="000E6E29" w14:paraId="2E74775A" w14:textId="77777777" w:rsidTr="000E6E29">
        <w:tc>
          <w:tcPr>
            <w:tcW w:w="4675" w:type="dxa"/>
          </w:tcPr>
          <w:p w14:paraId="50A2A4A0" w14:textId="77777777" w:rsidR="000E6E29" w:rsidRPr="002242D8" w:rsidRDefault="000E6E29" w:rsidP="00682F1B">
            <w:pPr>
              <w:rPr>
                <w:rFonts w:ascii="Arial" w:hAnsi="Arial" w:cs="Arial"/>
                <w:sz w:val="24"/>
                <w:szCs w:val="24"/>
              </w:rPr>
            </w:pPr>
            <w:r w:rsidRPr="002242D8">
              <w:rPr>
                <w:rFonts w:ascii="Arial" w:hAnsi="Arial" w:cs="Arial"/>
                <w:sz w:val="24"/>
                <w:szCs w:val="24"/>
              </w:rPr>
              <w:t>"L"</w:t>
            </w:r>
          </w:p>
        </w:tc>
        <w:tc>
          <w:tcPr>
            <w:tcW w:w="4675" w:type="dxa"/>
          </w:tcPr>
          <w:p w14:paraId="0A926D36" w14:textId="77777777" w:rsidR="000E6E29" w:rsidRPr="002242D8" w:rsidRDefault="000E6E29" w:rsidP="00682F1B">
            <w:pPr>
              <w:rPr>
                <w:rFonts w:ascii="Arial" w:hAnsi="Arial" w:cs="Arial"/>
                <w:sz w:val="24"/>
                <w:szCs w:val="24"/>
              </w:rPr>
            </w:pPr>
            <w:r w:rsidRPr="002242D8">
              <w:rPr>
                <w:rFonts w:ascii="Arial" w:hAnsi="Arial" w:cs="Arial"/>
                <w:sz w:val="24"/>
                <w:szCs w:val="24"/>
              </w:rPr>
              <w:t>Radiology</w:t>
            </w:r>
          </w:p>
        </w:tc>
      </w:tr>
      <w:tr w:rsidR="000E6E29" w:rsidRPr="000E6E29" w14:paraId="1C0A742F" w14:textId="77777777" w:rsidTr="000E6E29">
        <w:tc>
          <w:tcPr>
            <w:tcW w:w="4675" w:type="dxa"/>
          </w:tcPr>
          <w:p w14:paraId="45137D27" w14:textId="77777777" w:rsidR="000E6E29" w:rsidRPr="002242D8" w:rsidRDefault="000E6E29" w:rsidP="00682F1B">
            <w:pPr>
              <w:rPr>
                <w:rFonts w:ascii="Arial" w:hAnsi="Arial" w:cs="Arial"/>
                <w:sz w:val="24"/>
                <w:szCs w:val="24"/>
              </w:rPr>
            </w:pPr>
            <w:r w:rsidRPr="002242D8">
              <w:rPr>
                <w:rFonts w:ascii="Arial" w:hAnsi="Arial" w:cs="Arial"/>
                <w:sz w:val="24"/>
                <w:szCs w:val="24"/>
              </w:rPr>
              <w:t>"M"</w:t>
            </w:r>
          </w:p>
        </w:tc>
        <w:tc>
          <w:tcPr>
            <w:tcW w:w="4675" w:type="dxa"/>
          </w:tcPr>
          <w:p w14:paraId="17B5299F" w14:textId="77777777" w:rsidR="000E6E29" w:rsidRPr="002242D8" w:rsidRDefault="000E6E29" w:rsidP="00682F1B">
            <w:pPr>
              <w:rPr>
                <w:rFonts w:ascii="Arial" w:hAnsi="Arial" w:cs="Arial"/>
                <w:sz w:val="24"/>
                <w:szCs w:val="24"/>
              </w:rPr>
            </w:pPr>
            <w:r w:rsidRPr="002242D8">
              <w:rPr>
                <w:rFonts w:ascii="Arial" w:hAnsi="Arial" w:cs="Arial"/>
                <w:sz w:val="24"/>
                <w:szCs w:val="24"/>
              </w:rPr>
              <w:t>Pathology and Clinical Laboratory</w:t>
            </w:r>
          </w:p>
        </w:tc>
      </w:tr>
      <w:tr w:rsidR="000E6E29" w:rsidRPr="000E6E29" w14:paraId="76D13648" w14:textId="77777777" w:rsidTr="000E6E29">
        <w:tc>
          <w:tcPr>
            <w:tcW w:w="4675" w:type="dxa"/>
          </w:tcPr>
          <w:p w14:paraId="5817E41F" w14:textId="77777777" w:rsidR="000E6E29" w:rsidRPr="002242D8" w:rsidRDefault="000E6E29" w:rsidP="00682F1B">
            <w:pPr>
              <w:rPr>
                <w:rFonts w:ascii="Arial" w:hAnsi="Arial" w:cs="Arial"/>
                <w:sz w:val="24"/>
                <w:szCs w:val="24"/>
              </w:rPr>
            </w:pPr>
            <w:r w:rsidRPr="002242D8">
              <w:rPr>
                <w:rFonts w:ascii="Arial" w:hAnsi="Arial" w:cs="Arial"/>
                <w:sz w:val="24"/>
                <w:szCs w:val="24"/>
              </w:rPr>
              <w:t>"N"</w:t>
            </w:r>
          </w:p>
        </w:tc>
        <w:tc>
          <w:tcPr>
            <w:tcW w:w="4675" w:type="dxa"/>
          </w:tcPr>
          <w:p w14:paraId="27976A2E" w14:textId="77777777" w:rsidR="000E6E29" w:rsidRPr="002242D8" w:rsidRDefault="000E6E29" w:rsidP="00682F1B">
            <w:pPr>
              <w:rPr>
                <w:rFonts w:ascii="Arial" w:hAnsi="Arial" w:cs="Arial"/>
                <w:sz w:val="24"/>
                <w:szCs w:val="24"/>
              </w:rPr>
            </w:pPr>
            <w:r w:rsidRPr="002242D8">
              <w:rPr>
                <w:rFonts w:ascii="Arial" w:hAnsi="Arial" w:cs="Arial"/>
                <w:sz w:val="24"/>
                <w:szCs w:val="24"/>
              </w:rPr>
              <w:t>Medicine</w:t>
            </w:r>
          </w:p>
        </w:tc>
      </w:tr>
      <w:tr w:rsidR="000E6E29" w:rsidRPr="000E6E29" w14:paraId="2F149A72" w14:textId="77777777" w:rsidTr="000E6E29">
        <w:tc>
          <w:tcPr>
            <w:tcW w:w="4675" w:type="dxa"/>
          </w:tcPr>
          <w:p w14:paraId="531C649C" w14:textId="77777777" w:rsidR="000E6E29" w:rsidRPr="002242D8" w:rsidRDefault="000E6E29" w:rsidP="00682F1B">
            <w:pPr>
              <w:rPr>
                <w:rFonts w:ascii="Arial" w:hAnsi="Arial" w:cs="Arial"/>
                <w:sz w:val="24"/>
                <w:szCs w:val="24"/>
              </w:rPr>
            </w:pPr>
            <w:r w:rsidRPr="002242D8">
              <w:rPr>
                <w:rFonts w:ascii="Arial" w:hAnsi="Arial" w:cs="Arial"/>
                <w:sz w:val="24"/>
                <w:szCs w:val="24"/>
              </w:rPr>
              <w:t>"O"</w:t>
            </w:r>
          </w:p>
        </w:tc>
        <w:tc>
          <w:tcPr>
            <w:tcW w:w="4675" w:type="dxa"/>
          </w:tcPr>
          <w:p w14:paraId="034CA9A4" w14:textId="77777777" w:rsidR="000E6E29" w:rsidRPr="002242D8" w:rsidRDefault="000E6E29" w:rsidP="00682F1B">
            <w:pPr>
              <w:rPr>
                <w:rFonts w:ascii="Arial" w:hAnsi="Arial" w:cs="Arial"/>
                <w:sz w:val="24"/>
                <w:szCs w:val="24"/>
              </w:rPr>
            </w:pPr>
            <w:r w:rsidRPr="002242D8">
              <w:rPr>
                <w:rFonts w:ascii="Arial" w:hAnsi="Arial" w:cs="Arial"/>
                <w:sz w:val="24"/>
                <w:szCs w:val="24"/>
              </w:rPr>
              <w:t>Assistant Surgeon</w:t>
            </w:r>
          </w:p>
        </w:tc>
      </w:tr>
      <w:tr w:rsidR="000E6E29" w:rsidRPr="000E6E29" w14:paraId="5BEE6085" w14:textId="77777777" w:rsidTr="000E6E29">
        <w:tc>
          <w:tcPr>
            <w:tcW w:w="4675" w:type="dxa"/>
          </w:tcPr>
          <w:p w14:paraId="4475E527" w14:textId="77777777" w:rsidR="000E6E29" w:rsidRPr="002242D8" w:rsidRDefault="000E6E29" w:rsidP="00682F1B">
            <w:pPr>
              <w:rPr>
                <w:rFonts w:ascii="Arial" w:hAnsi="Arial" w:cs="Arial"/>
                <w:sz w:val="24"/>
                <w:szCs w:val="24"/>
              </w:rPr>
            </w:pPr>
            <w:r w:rsidRPr="002242D8">
              <w:rPr>
                <w:rFonts w:ascii="Arial" w:hAnsi="Arial" w:cs="Arial"/>
                <w:sz w:val="24"/>
                <w:szCs w:val="24"/>
              </w:rPr>
              <w:t>"P"</w:t>
            </w:r>
          </w:p>
        </w:tc>
        <w:tc>
          <w:tcPr>
            <w:tcW w:w="4675" w:type="dxa"/>
          </w:tcPr>
          <w:p w14:paraId="79E4DC8F" w14:textId="77777777" w:rsidR="000E6E29" w:rsidRPr="002242D8" w:rsidRDefault="000E6E29" w:rsidP="00682F1B">
            <w:pPr>
              <w:rPr>
                <w:rFonts w:ascii="Arial" w:hAnsi="Arial" w:cs="Arial"/>
                <w:sz w:val="24"/>
                <w:szCs w:val="24"/>
              </w:rPr>
            </w:pPr>
            <w:r w:rsidRPr="002242D8">
              <w:rPr>
                <w:rFonts w:ascii="Arial" w:hAnsi="Arial" w:cs="Arial"/>
                <w:sz w:val="24"/>
                <w:szCs w:val="24"/>
              </w:rPr>
              <w:t>Podiatrist</w:t>
            </w:r>
          </w:p>
        </w:tc>
      </w:tr>
      <w:tr w:rsidR="000E6E29" w:rsidRPr="000E6E29" w14:paraId="12BF179A" w14:textId="77777777" w:rsidTr="000E6E29">
        <w:tc>
          <w:tcPr>
            <w:tcW w:w="4675" w:type="dxa"/>
          </w:tcPr>
          <w:p w14:paraId="62F9B0D8" w14:textId="77777777" w:rsidR="000E6E29" w:rsidRPr="002242D8" w:rsidRDefault="000E6E29" w:rsidP="00682F1B">
            <w:pPr>
              <w:rPr>
                <w:rFonts w:ascii="Arial" w:hAnsi="Arial" w:cs="Arial"/>
                <w:sz w:val="24"/>
                <w:szCs w:val="24"/>
              </w:rPr>
            </w:pPr>
            <w:r w:rsidRPr="002242D8">
              <w:rPr>
                <w:rFonts w:ascii="Arial" w:hAnsi="Arial" w:cs="Arial"/>
                <w:sz w:val="24"/>
                <w:szCs w:val="24"/>
              </w:rPr>
              <w:t>"Q"</w:t>
            </w:r>
          </w:p>
        </w:tc>
        <w:tc>
          <w:tcPr>
            <w:tcW w:w="4675" w:type="dxa"/>
          </w:tcPr>
          <w:p w14:paraId="20024934" w14:textId="77777777" w:rsidR="000E6E29" w:rsidRPr="002242D8" w:rsidRDefault="000E6E29" w:rsidP="00682F1B">
            <w:pPr>
              <w:rPr>
                <w:rFonts w:ascii="Arial" w:hAnsi="Arial" w:cs="Arial"/>
                <w:sz w:val="24"/>
                <w:szCs w:val="24"/>
              </w:rPr>
            </w:pPr>
            <w:r w:rsidRPr="002242D8">
              <w:rPr>
                <w:rFonts w:ascii="Arial" w:hAnsi="Arial" w:cs="Arial"/>
                <w:sz w:val="24"/>
                <w:szCs w:val="24"/>
              </w:rPr>
              <w:t>Psychology Services for Mental Health Expansion</w:t>
            </w:r>
          </w:p>
        </w:tc>
      </w:tr>
      <w:tr w:rsidR="000E6E29" w:rsidRPr="000E6E29" w14:paraId="17805330" w14:textId="77777777" w:rsidTr="000E6E29">
        <w:tc>
          <w:tcPr>
            <w:tcW w:w="4675" w:type="dxa"/>
          </w:tcPr>
          <w:p w14:paraId="47F91BE7" w14:textId="77777777" w:rsidR="000E6E29" w:rsidRPr="002242D8" w:rsidRDefault="000E6E29" w:rsidP="00682F1B">
            <w:pPr>
              <w:rPr>
                <w:rFonts w:ascii="Arial" w:hAnsi="Arial" w:cs="Arial"/>
                <w:sz w:val="24"/>
                <w:szCs w:val="24"/>
              </w:rPr>
            </w:pPr>
            <w:r w:rsidRPr="002242D8">
              <w:rPr>
                <w:rFonts w:ascii="Arial" w:hAnsi="Arial" w:cs="Arial"/>
                <w:sz w:val="24"/>
                <w:szCs w:val="24"/>
              </w:rPr>
              <w:t xml:space="preserve">“T” </w:t>
            </w:r>
          </w:p>
        </w:tc>
        <w:tc>
          <w:tcPr>
            <w:tcW w:w="4675" w:type="dxa"/>
          </w:tcPr>
          <w:p w14:paraId="3AB04629" w14:textId="4A85EFA3" w:rsidR="000E6E29" w:rsidRPr="002242D8" w:rsidRDefault="00C40A39" w:rsidP="00682F1B">
            <w:pPr>
              <w:rPr>
                <w:rFonts w:ascii="Arial" w:hAnsi="Arial" w:cs="Arial"/>
                <w:sz w:val="24"/>
                <w:szCs w:val="24"/>
              </w:rPr>
            </w:pPr>
            <w:r w:rsidRPr="00C40A39">
              <w:rPr>
                <w:rFonts w:ascii="Arial" w:hAnsi="Arial" w:cs="Arial"/>
                <w:sz w:val="24"/>
                <w:szCs w:val="24"/>
              </w:rPr>
              <w:t>Early and Periodic Screening, Diagnostic and Treatment</w:t>
            </w:r>
            <w:r>
              <w:rPr>
                <w:rFonts w:ascii="Arial" w:hAnsi="Arial" w:cs="Arial"/>
                <w:sz w:val="24"/>
                <w:szCs w:val="24"/>
              </w:rPr>
              <w:t xml:space="preserve"> (</w:t>
            </w:r>
            <w:r w:rsidR="000E6E29" w:rsidRPr="002242D8">
              <w:rPr>
                <w:rFonts w:ascii="Arial" w:hAnsi="Arial" w:cs="Arial"/>
                <w:sz w:val="24"/>
                <w:szCs w:val="24"/>
              </w:rPr>
              <w:t>EPSDT</w:t>
            </w:r>
            <w:r>
              <w:rPr>
                <w:rFonts w:ascii="Arial" w:hAnsi="Arial" w:cs="Arial"/>
                <w:sz w:val="24"/>
                <w:szCs w:val="24"/>
              </w:rPr>
              <w:t>)</w:t>
            </w:r>
          </w:p>
        </w:tc>
      </w:tr>
      <w:tr w:rsidR="0030198A" w:rsidRPr="000E6E29" w14:paraId="3D3A66F3" w14:textId="77777777" w:rsidTr="000E6E29">
        <w:tc>
          <w:tcPr>
            <w:tcW w:w="4675" w:type="dxa"/>
          </w:tcPr>
          <w:p w14:paraId="4170E7C0" w14:textId="09154322" w:rsidR="0030198A" w:rsidRPr="002242D8" w:rsidRDefault="0030198A" w:rsidP="00682F1B">
            <w:pPr>
              <w:rPr>
                <w:rFonts w:ascii="Arial" w:hAnsi="Arial" w:cs="Arial"/>
                <w:sz w:val="24"/>
                <w:szCs w:val="24"/>
              </w:rPr>
            </w:pPr>
            <w:r w:rsidRPr="0030198A">
              <w:rPr>
                <w:rFonts w:ascii="Arial" w:hAnsi="Arial" w:cs="Arial"/>
                <w:sz w:val="24"/>
                <w:szCs w:val="24"/>
              </w:rPr>
              <w:t>“U”</w:t>
            </w:r>
          </w:p>
        </w:tc>
        <w:tc>
          <w:tcPr>
            <w:tcW w:w="4675" w:type="dxa"/>
          </w:tcPr>
          <w:p w14:paraId="23779275" w14:textId="129603A1" w:rsidR="0030198A" w:rsidRPr="002242D8" w:rsidRDefault="00EB5691" w:rsidP="00682F1B">
            <w:pPr>
              <w:rPr>
                <w:rFonts w:ascii="Arial" w:hAnsi="Arial" w:cs="Arial"/>
                <w:sz w:val="24"/>
                <w:szCs w:val="24"/>
              </w:rPr>
            </w:pPr>
            <w:r w:rsidRPr="00EB5691">
              <w:rPr>
                <w:rFonts w:ascii="Arial" w:hAnsi="Arial" w:cs="Arial"/>
                <w:sz w:val="24"/>
                <w:szCs w:val="24"/>
              </w:rPr>
              <w:t>Multipurpose Senior Services Program</w:t>
            </w:r>
            <w:r>
              <w:rPr>
                <w:rFonts w:ascii="Arial" w:hAnsi="Arial" w:cs="Arial"/>
                <w:sz w:val="24"/>
                <w:szCs w:val="24"/>
              </w:rPr>
              <w:t xml:space="preserve"> (</w:t>
            </w:r>
            <w:r w:rsidR="0082741A">
              <w:rPr>
                <w:rFonts w:ascii="Arial" w:hAnsi="Arial" w:cs="Arial"/>
                <w:sz w:val="24"/>
                <w:szCs w:val="24"/>
              </w:rPr>
              <w:t>MSSP</w:t>
            </w:r>
            <w:r>
              <w:rPr>
                <w:rFonts w:ascii="Arial" w:hAnsi="Arial" w:cs="Arial"/>
                <w:sz w:val="24"/>
                <w:szCs w:val="24"/>
              </w:rPr>
              <w:t>)</w:t>
            </w:r>
          </w:p>
        </w:tc>
      </w:tr>
      <w:tr w:rsidR="0030198A" w:rsidRPr="000E6E29" w14:paraId="78A21727" w14:textId="77777777" w:rsidTr="000E6E29">
        <w:tc>
          <w:tcPr>
            <w:tcW w:w="4675" w:type="dxa"/>
          </w:tcPr>
          <w:p w14:paraId="741BD76F" w14:textId="67D1DD8C" w:rsidR="0030198A" w:rsidRPr="002242D8" w:rsidRDefault="0030198A" w:rsidP="00682F1B">
            <w:pPr>
              <w:rPr>
                <w:rFonts w:ascii="Arial" w:hAnsi="Arial" w:cs="Arial"/>
                <w:sz w:val="24"/>
                <w:szCs w:val="24"/>
              </w:rPr>
            </w:pPr>
            <w:r w:rsidRPr="0030198A">
              <w:rPr>
                <w:rFonts w:ascii="Arial" w:hAnsi="Arial" w:cs="Arial"/>
                <w:sz w:val="24"/>
                <w:szCs w:val="24"/>
              </w:rPr>
              <w:t>“V”</w:t>
            </w:r>
          </w:p>
        </w:tc>
        <w:tc>
          <w:tcPr>
            <w:tcW w:w="4675" w:type="dxa"/>
          </w:tcPr>
          <w:p w14:paraId="6B24AA31" w14:textId="763A87EC" w:rsidR="0030198A" w:rsidRPr="002242D8" w:rsidRDefault="0030198A" w:rsidP="00682F1B">
            <w:pPr>
              <w:rPr>
                <w:rFonts w:ascii="Arial" w:hAnsi="Arial" w:cs="Arial"/>
                <w:sz w:val="24"/>
                <w:szCs w:val="24"/>
              </w:rPr>
            </w:pPr>
            <w:r w:rsidRPr="0030198A">
              <w:rPr>
                <w:rFonts w:ascii="Arial" w:hAnsi="Arial" w:cs="Arial"/>
                <w:sz w:val="24"/>
                <w:szCs w:val="24"/>
              </w:rPr>
              <w:t>Palliative Care</w:t>
            </w:r>
          </w:p>
        </w:tc>
      </w:tr>
      <w:tr w:rsidR="0099672B" w:rsidRPr="000E6E29" w14:paraId="089496EB" w14:textId="77777777" w:rsidTr="000E6E29">
        <w:tc>
          <w:tcPr>
            <w:tcW w:w="4675" w:type="dxa"/>
          </w:tcPr>
          <w:p w14:paraId="0226470D" w14:textId="07AAA324" w:rsidR="0099672B" w:rsidRPr="002242D8" w:rsidRDefault="001F35DD" w:rsidP="00682F1B">
            <w:pPr>
              <w:rPr>
                <w:rFonts w:ascii="Arial" w:hAnsi="Arial" w:cs="Arial"/>
                <w:sz w:val="24"/>
                <w:szCs w:val="24"/>
              </w:rPr>
            </w:pPr>
            <w:r w:rsidRPr="001F35DD">
              <w:rPr>
                <w:rFonts w:ascii="Arial" w:hAnsi="Arial" w:cs="Arial"/>
                <w:sz w:val="24"/>
                <w:szCs w:val="24"/>
              </w:rPr>
              <w:t>“</w:t>
            </w:r>
            <w:r>
              <w:rPr>
                <w:rFonts w:ascii="Arial" w:hAnsi="Arial" w:cs="Arial"/>
                <w:sz w:val="24"/>
                <w:szCs w:val="24"/>
              </w:rPr>
              <w:t>X</w:t>
            </w:r>
            <w:r w:rsidRPr="001F35DD">
              <w:rPr>
                <w:rFonts w:ascii="Arial" w:hAnsi="Arial" w:cs="Arial"/>
                <w:sz w:val="24"/>
                <w:szCs w:val="24"/>
              </w:rPr>
              <w:t>”</w:t>
            </w:r>
          </w:p>
        </w:tc>
        <w:tc>
          <w:tcPr>
            <w:tcW w:w="4675" w:type="dxa"/>
          </w:tcPr>
          <w:p w14:paraId="11807852" w14:textId="017E4827" w:rsidR="0099672B" w:rsidRPr="002242D8" w:rsidRDefault="00402D3B" w:rsidP="00682F1B">
            <w:pPr>
              <w:rPr>
                <w:rFonts w:ascii="Arial" w:hAnsi="Arial" w:cs="Arial"/>
                <w:sz w:val="24"/>
                <w:szCs w:val="24"/>
              </w:rPr>
            </w:pPr>
            <w:r>
              <w:rPr>
                <w:rFonts w:ascii="Arial" w:hAnsi="Arial" w:cs="Arial"/>
                <w:sz w:val="24"/>
                <w:szCs w:val="24"/>
              </w:rPr>
              <w:t>Targeted Rate Increase</w:t>
            </w:r>
          </w:p>
        </w:tc>
      </w:tr>
      <w:tr w:rsidR="00735698" w:rsidRPr="000E6E29" w14:paraId="407F1543" w14:textId="77777777" w:rsidTr="000E6E29">
        <w:tc>
          <w:tcPr>
            <w:tcW w:w="4675" w:type="dxa"/>
          </w:tcPr>
          <w:p w14:paraId="7848BE00" w14:textId="5D3395AA" w:rsidR="00735698" w:rsidRPr="001F35DD" w:rsidRDefault="00735698" w:rsidP="00682F1B">
            <w:pPr>
              <w:rPr>
                <w:rFonts w:ascii="Arial" w:hAnsi="Arial" w:cs="Arial"/>
                <w:sz w:val="24"/>
                <w:szCs w:val="24"/>
              </w:rPr>
            </w:pPr>
            <w:r w:rsidRPr="001F35DD">
              <w:rPr>
                <w:rFonts w:ascii="Arial" w:hAnsi="Arial" w:cs="Arial"/>
                <w:sz w:val="24"/>
                <w:szCs w:val="24"/>
              </w:rPr>
              <w:lastRenderedPageBreak/>
              <w:t>“</w:t>
            </w:r>
            <w:r>
              <w:rPr>
                <w:rFonts w:ascii="Arial" w:hAnsi="Arial" w:cs="Arial"/>
                <w:sz w:val="24"/>
                <w:szCs w:val="24"/>
              </w:rPr>
              <w:t>Y</w:t>
            </w:r>
            <w:r w:rsidRPr="001F35DD">
              <w:rPr>
                <w:rFonts w:ascii="Arial" w:hAnsi="Arial" w:cs="Arial"/>
                <w:sz w:val="24"/>
                <w:szCs w:val="24"/>
              </w:rPr>
              <w:t>”</w:t>
            </w:r>
          </w:p>
        </w:tc>
        <w:tc>
          <w:tcPr>
            <w:tcW w:w="4675" w:type="dxa"/>
          </w:tcPr>
          <w:p w14:paraId="19ADED8E" w14:textId="4DA6C425" w:rsidR="00735698" w:rsidRPr="008B0398" w:rsidRDefault="008B0398" w:rsidP="00682F1B">
            <w:pPr>
              <w:rPr>
                <w:rFonts w:ascii="Arial" w:hAnsi="Arial" w:cs="Arial"/>
                <w:sz w:val="24"/>
                <w:szCs w:val="24"/>
              </w:rPr>
            </w:pPr>
            <w:r w:rsidRPr="008B0398">
              <w:rPr>
                <w:rFonts w:ascii="Arial" w:hAnsi="Arial" w:cs="Arial"/>
                <w:sz w:val="24"/>
                <w:szCs w:val="28"/>
              </w:rPr>
              <w:t>Justice Involved</w:t>
            </w:r>
          </w:p>
        </w:tc>
      </w:tr>
      <w:tr w:rsidR="000E6E29" w:rsidRPr="000E6E29" w14:paraId="2AEF6621" w14:textId="77777777" w:rsidTr="000E6E29">
        <w:tc>
          <w:tcPr>
            <w:tcW w:w="4675" w:type="dxa"/>
          </w:tcPr>
          <w:p w14:paraId="31040612" w14:textId="77777777" w:rsidR="000E6E29" w:rsidRPr="002242D8" w:rsidRDefault="000E6E29" w:rsidP="00682F1B">
            <w:pPr>
              <w:rPr>
                <w:rFonts w:ascii="Arial" w:hAnsi="Arial" w:cs="Arial"/>
                <w:sz w:val="24"/>
                <w:szCs w:val="24"/>
              </w:rPr>
            </w:pPr>
            <w:r w:rsidRPr="002242D8">
              <w:rPr>
                <w:rFonts w:ascii="Arial" w:hAnsi="Arial" w:cs="Arial"/>
                <w:sz w:val="24"/>
                <w:szCs w:val="24"/>
              </w:rPr>
              <w:t>"1"</w:t>
            </w:r>
          </w:p>
        </w:tc>
        <w:tc>
          <w:tcPr>
            <w:tcW w:w="4675" w:type="dxa"/>
          </w:tcPr>
          <w:p w14:paraId="0269ABC5" w14:textId="77777777" w:rsidR="000E6E29" w:rsidRPr="002242D8" w:rsidRDefault="000E6E29" w:rsidP="00682F1B">
            <w:pPr>
              <w:rPr>
                <w:rFonts w:ascii="Arial" w:hAnsi="Arial" w:cs="Arial"/>
                <w:sz w:val="24"/>
                <w:szCs w:val="24"/>
              </w:rPr>
            </w:pPr>
            <w:r w:rsidRPr="002242D8">
              <w:rPr>
                <w:rFonts w:ascii="Arial" w:hAnsi="Arial" w:cs="Arial"/>
                <w:sz w:val="24"/>
                <w:szCs w:val="24"/>
              </w:rPr>
              <w:t>Allied Health and other programs</w:t>
            </w:r>
          </w:p>
        </w:tc>
      </w:tr>
      <w:tr w:rsidR="000E6E29" w:rsidRPr="000E6E29" w14:paraId="2E30EA3C" w14:textId="77777777" w:rsidTr="000E6E29">
        <w:tc>
          <w:tcPr>
            <w:tcW w:w="4675" w:type="dxa"/>
          </w:tcPr>
          <w:p w14:paraId="3D2DD75C" w14:textId="77777777" w:rsidR="000E6E29" w:rsidRPr="002242D8" w:rsidRDefault="000E6E29" w:rsidP="00682F1B">
            <w:pPr>
              <w:rPr>
                <w:rFonts w:ascii="Arial" w:hAnsi="Arial" w:cs="Arial"/>
                <w:sz w:val="24"/>
                <w:szCs w:val="24"/>
              </w:rPr>
            </w:pPr>
            <w:r w:rsidRPr="002242D8">
              <w:rPr>
                <w:rFonts w:ascii="Arial" w:hAnsi="Arial" w:cs="Arial"/>
                <w:sz w:val="24"/>
                <w:szCs w:val="24"/>
              </w:rPr>
              <w:t>"3"</w:t>
            </w:r>
          </w:p>
        </w:tc>
        <w:tc>
          <w:tcPr>
            <w:tcW w:w="4675" w:type="dxa"/>
          </w:tcPr>
          <w:p w14:paraId="22ABA6F6" w14:textId="77777777" w:rsidR="000E6E29" w:rsidRPr="002242D8" w:rsidRDefault="000E6E29" w:rsidP="00682F1B">
            <w:pPr>
              <w:rPr>
                <w:rFonts w:ascii="Arial" w:hAnsi="Arial" w:cs="Arial"/>
                <w:sz w:val="24"/>
                <w:szCs w:val="24"/>
              </w:rPr>
            </w:pPr>
            <w:r w:rsidRPr="002242D8">
              <w:rPr>
                <w:rFonts w:ascii="Arial" w:hAnsi="Arial" w:cs="Arial"/>
                <w:sz w:val="24"/>
                <w:szCs w:val="24"/>
              </w:rPr>
              <w:t>Vision Care</w:t>
            </w:r>
          </w:p>
        </w:tc>
      </w:tr>
    </w:tbl>
    <w:p w14:paraId="7DFD78D3" w14:textId="77777777" w:rsidR="00780CE3" w:rsidRDefault="00780CE3" w:rsidP="00780CE3"/>
    <w:p w14:paraId="23AFDBDA" w14:textId="02D197E6" w:rsidR="000E6E29" w:rsidRPr="000E6E29" w:rsidRDefault="00B64EF4" w:rsidP="004063B8">
      <w:pPr>
        <w:pStyle w:val="Heading2"/>
        <w:spacing w:before="0" w:line="240" w:lineRule="auto"/>
        <w:rPr>
          <w:rFonts w:ascii="Arial" w:hAnsi="Arial" w:cs="Arial"/>
          <w:color w:val="auto"/>
        </w:rPr>
      </w:pPr>
      <w:r w:rsidRPr="000E6E29">
        <w:rPr>
          <w:rFonts w:ascii="Arial" w:hAnsi="Arial" w:cs="Arial"/>
          <w:color w:val="auto"/>
        </w:rPr>
        <w:t>Proc</w:t>
      </w:r>
      <w:r w:rsidR="000E6E29" w:rsidRPr="000E6E29">
        <w:rPr>
          <w:rFonts w:ascii="Arial" w:hAnsi="Arial" w:cs="Arial"/>
          <w:color w:val="auto"/>
        </w:rPr>
        <w:t xml:space="preserve"> Code: </w:t>
      </w:r>
    </w:p>
    <w:p w14:paraId="2C91F4A4" w14:textId="7B1317A6" w:rsidR="000E6E29" w:rsidRPr="002242D8" w:rsidRDefault="000E6E29" w:rsidP="000E6E29">
      <w:pPr>
        <w:rPr>
          <w:rFonts w:ascii="Arial" w:hAnsi="Arial" w:cs="Arial"/>
          <w:sz w:val="24"/>
          <w:szCs w:val="24"/>
        </w:rPr>
      </w:pPr>
      <w:r w:rsidRPr="002242D8">
        <w:rPr>
          <w:rFonts w:ascii="Arial" w:hAnsi="Arial" w:cs="Arial"/>
          <w:sz w:val="24"/>
          <w:szCs w:val="24"/>
        </w:rPr>
        <w:t>Includes Current Procedural Terminology (CPT) and alpha-numeric Health Care Financing Common Procedure Coding System (HCPCS) codes for covered benefits only. Codes for dental procedures are not included. CPT codes and descriptors are copyright 2000 American Medical Association. All rights reserved. Applicable Federal Acquisition Regulation System (FARS) and Defense Federal Acquisition Regulation Supplement (DFARS) apply.</w:t>
      </w:r>
    </w:p>
    <w:p w14:paraId="76630520" w14:textId="77777777" w:rsidR="000E6E29" w:rsidRPr="000E6E29" w:rsidRDefault="000E6E29" w:rsidP="000E6E29">
      <w:pPr>
        <w:pStyle w:val="Heading2"/>
        <w:rPr>
          <w:rFonts w:ascii="Arial" w:hAnsi="Arial" w:cs="Arial"/>
          <w:color w:val="auto"/>
        </w:rPr>
      </w:pPr>
      <w:r w:rsidRPr="000E6E29">
        <w:rPr>
          <w:rFonts w:ascii="Arial" w:hAnsi="Arial" w:cs="Arial"/>
          <w:color w:val="auto"/>
        </w:rPr>
        <w:t xml:space="preserve">Procedure Description: </w:t>
      </w:r>
    </w:p>
    <w:p w14:paraId="4FC89CC0" w14:textId="5A180158" w:rsidR="000E6E29" w:rsidRPr="002242D8" w:rsidRDefault="000E6E29" w:rsidP="000E6E29">
      <w:pPr>
        <w:rPr>
          <w:rFonts w:ascii="Arial" w:hAnsi="Arial" w:cs="Arial"/>
          <w:sz w:val="24"/>
          <w:szCs w:val="24"/>
        </w:rPr>
      </w:pPr>
      <w:r w:rsidRPr="002242D8">
        <w:rPr>
          <w:rFonts w:ascii="Arial" w:hAnsi="Arial" w:cs="Arial"/>
          <w:sz w:val="24"/>
          <w:szCs w:val="24"/>
        </w:rPr>
        <w:t xml:space="preserve">Lists abbreviated or truncated procedure descriptions. Refer to the current CPT book, HCPCS code book or Medi-Cal provider manuals for complete descriptions. Medi-Cal descriptors for several CPT codes differ from those in the CPT book. Examples are 47135, 90853, and 95115. </w:t>
      </w:r>
    </w:p>
    <w:p w14:paraId="5E3262F7" w14:textId="77777777" w:rsidR="000E6E29" w:rsidRPr="000E6E29" w:rsidRDefault="000E6E29" w:rsidP="000E6E29">
      <w:pPr>
        <w:pStyle w:val="Heading2"/>
        <w:rPr>
          <w:rFonts w:ascii="Arial" w:hAnsi="Arial" w:cs="Arial"/>
          <w:color w:val="auto"/>
        </w:rPr>
      </w:pPr>
      <w:r w:rsidRPr="000E6E29">
        <w:rPr>
          <w:rFonts w:ascii="Arial" w:hAnsi="Arial" w:cs="Arial"/>
          <w:color w:val="auto"/>
        </w:rPr>
        <w:t xml:space="preserve">Unit Value: </w:t>
      </w:r>
    </w:p>
    <w:p w14:paraId="4E0B892D" w14:textId="77777777" w:rsidR="000E6E29" w:rsidRPr="002242D8" w:rsidRDefault="000E6E29" w:rsidP="000E6E29">
      <w:pPr>
        <w:rPr>
          <w:rFonts w:ascii="Arial" w:hAnsi="Arial" w:cs="Arial"/>
          <w:sz w:val="24"/>
          <w:szCs w:val="24"/>
        </w:rPr>
      </w:pPr>
      <w:r w:rsidRPr="002242D8">
        <w:rPr>
          <w:rFonts w:ascii="Arial" w:hAnsi="Arial" w:cs="Arial"/>
          <w:sz w:val="24"/>
          <w:szCs w:val="24"/>
        </w:rPr>
        <w:t>Lists the relative unit values used to compute the allowable rate, as follows:</w:t>
      </w:r>
    </w:p>
    <w:p w14:paraId="2B9A6F52" w14:textId="77777777" w:rsidR="000E6E29" w:rsidRPr="002242D8" w:rsidRDefault="000E6E29" w:rsidP="000E6E29">
      <w:pPr>
        <w:pStyle w:val="ListParagraph"/>
        <w:numPr>
          <w:ilvl w:val="0"/>
          <w:numId w:val="1"/>
        </w:numPr>
        <w:rPr>
          <w:rFonts w:ascii="Arial" w:hAnsi="Arial" w:cs="Arial"/>
          <w:sz w:val="24"/>
          <w:szCs w:val="24"/>
        </w:rPr>
      </w:pPr>
      <w:r w:rsidRPr="002242D8">
        <w:rPr>
          <w:rFonts w:ascii="Arial" w:hAnsi="Arial" w:cs="Arial"/>
          <w:sz w:val="24"/>
          <w:szCs w:val="24"/>
        </w:rPr>
        <w:t xml:space="preserve">Unit value X dollar conversion factor equals maximum rate. </w:t>
      </w:r>
    </w:p>
    <w:p w14:paraId="5EAD6CD0" w14:textId="77777777" w:rsidR="000E6E29" w:rsidRPr="002242D8" w:rsidRDefault="000E6E29" w:rsidP="000E6E29">
      <w:pPr>
        <w:pStyle w:val="ListParagraph"/>
        <w:numPr>
          <w:ilvl w:val="0"/>
          <w:numId w:val="1"/>
        </w:numPr>
        <w:rPr>
          <w:rFonts w:ascii="Arial" w:hAnsi="Arial" w:cs="Arial"/>
          <w:sz w:val="24"/>
          <w:szCs w:val="24"/>
        </w:rPr>
      </w:pPr>
      <w:r w:rsidRPr="002242D8">
        <w:rPr>
          <w:rFonts w:ascii="Arial" w:hAnsi="Arial" w:cs="Arial"/>
          <w:sz w:val="24"/>
          <w:szCs w:val="24"/>
        </w:rPr>
        <w:t xml:space="preserve">Unit values listed for anesthesia services (procedure type “J”) represent base values only. </w:t>
      </w:r>
    </w:p>
    <w:p w14:paraId="3E34411A" w14:textId="77777777" w:rsidR="000E6E29" w:rsidRPr="002242D8" w:rsidRDefault="000E6E29" w:rsidP="000E6E29">
      <w:pPr>
        <w:pStyle w:val="ListParagraph"/>
        <w:numPr>
          <w:ilvl w:val="0"/>
          <w:numId w:val="1"/>
        </w:numPr>
        <w:rPr>
          <w:rFonts w:ascii="Arial" w:hAnsi="Arial" w:cs="Arial"/>
          <w:sz w:val="24"/>
          <w:szCs w:val="24"/>
        </w:rPr>
      </w:pPr>
      <w:r w:rsidRPr="002242D8">
        <w:rPr>
          <w:rFonts w:ascii="Arial" w:hAnsi="Arial" w:cs="Arial"/>
          <w:sz w:val="24"/>
          <w:szCs w:val="24"/>
        </w:rPr>
        <w:t xml:space="preserve">Anesthesia time units are computed by allowing one unit for each 15 minutes of anesthesia time spent in attendance with the patient. </w:t>
      </w:r>
    </w:p>
    <w:p w14:paraId="75B25E9B" w14:textId="77777777" w:rsidR="000E6E29" w:rsidRPr="002242D8" w:rsidRDefault="000E6E29" w:rsidP="000E6E29">
      <w:pPr>
        <w:pStyle w:val="ListParagraph"/>
        <w:numPr>
          <w:ilvl w:val="0"/>
          <w:numId w:val="1"/>
        </w:numPr>
        <w:rPr>
          <w:rFonts w:ascii="Arial" w:hAnsi="Arial" w:cs="Arial"/>
          <w:sz w:val="24"/>
          <w:szCs w:val="24"/>
        </w:rPr>
      </w:pPr>
      <w:r w:rsidRPr="002242D8">
        <w:rPr>
          <w:rFonts w:ascii="Arial" w:hAnsi="Arial" w:cs="Arial"/>
          <w:sz w:val="24"/>
          <w:szCs w:val="24"/>
        </w:rPr>
        <w:t>Base unit values for nurse anesthetists are determined by subtracting one unit from the listed anesthesia base unit value.</w:t>
      </w:r>
    </w:p>
    <w:p w14:paraId="56E44A2E" w14:textId="77777777" w:rsidR="000E6E29" w:rsidRPr="000E6E29" w:rsidRDefault="000E6E29" w:rsidP="000E6E29">
      <w:pPr>
        <w:pStyle w:val="Heading2"/>
        <w:rPr>
          <w:rFonts w:ascii="Arial" w:hAnsi="Arial" w:cs="Arial"/>
          <w:color w:val="auto"/>
        </w:rPr>
      </w:pPr>
      <w:r w:rsidRPr="000E6E29">
        <w:rPr>
          <w:rFonts w:ascii="Arial" w:hAnsi="Arial" w:cs="Arial"/>
          <w:color w:val="auto"/>
        </w:rPr>
        <w:t xml:space="preserve">Basic Rate: </w:t>
      </w:r>
    </w:p>
    <w:p w14:paraId="0EFEB9E1" w14:textId="77777777" w:rsidR="000E6E29" w:rsidRPr="002242D8" w:rsidRDefault="000E6E29" w:rsidP="000E6E29">
      <w:pPr>
        <w:rPr>
          <w:rFonts w:ascii="Arial" w:hAnsi="Arial" w:cs="Arial"/>
          <w:sz w:val="24"/>
          <w:szCs w:val="24"/>
        </w:rPr>
      </w:pPr>
      <w:r w:rsidRPr="002242D8">
        <w:rPr>
          <w:rFonts w:ascii="Arial" w:hAnsi="Arial" w:cs="Arial"/>
          <w:sz w:val="24"/>
          <w:szCs w:val="24"/>
        </w:rPr>
        <w:t>List of Medi-Cal’s basic rates. The listed rates are exact. Rates for physician services are reimbursable to physicians, physician groups, and non-physician medical practitioners, and, for procedure type “P”, podiatrists. A value of “0.00” or “0.01” means the procedure is priced by the fiscal intermediary.</w:t>
      </w:r>
    </w:p>
    <w:p w14:paraId="5D2DA72E" w14:textId="77777777" w:rsidR="000E6E29" w:rsidRPr="000E6E29" w:rsidRDefault="000E6E29" w:rsidP="000E6E29">
      <w:pPr>
        <w:pStyle w:val="Heading2"/>
        <w:rPr>
          <w:rFonts w:ascii="Arial" w:hAnsi="Arial" w:cs="Arial"/>
          <w:color w:val="auto"/>
        </w:rPr>
      </w:pPr>
      <w:r w:rsidRPr="000E6E29">
        <w:rPr>
          <w:rFonts w:ascii="Arial" w:hAnsi="Arial" w:cs="Arial"/>
          <w:color w:val="auto"/>
        </w:rPr>
        <w:t xml:space="preserve">Child Rate: </w:t>
      </w:r>
    </w:p>
    <w:p w14:paraId="3B7383A0" w14:textId="77777777" w:rsidR="000E6E29" w:rsidRPr="002242D8" w:rsidRDefault="000E6E29" w:rsidP="000E6E29">
      <w:pPr>
        <w:rPr>
          <w:rFonts w:ascii="Arial" w:hAnsi="Arial" w:cs="Arial"/>
          <w:sz w:val="24"/>
          <w:szCs w:val="24"/>
        </w:rPr>
      </w:pPr>
      <w:r w:rsidRPr="002242D8">
        <w:rPr>
          <w:rFonts w:ascii="Arial" w:hAnsi="Arial" w:cs="Arial"/>
          <w:sz w:val="24"/>
          <w:szCs w:val="24"/>
        </w:rPr>
        <w:t>Selected primary care and preventive medicine services are reimbursed at a higher rate for children aged 17 years or under than adults. For these services, rates for child patients are about 9 percent higher than rates for adult patients. For these services, the rates for adults are included in the “Basic Rate” column and the higher rates for children are listed in the “Child Rate” column. The rates are correct to within plus or minus 1 cent.</w:t>
      </w:r>
    </w:p>
    <w:p w14:paraId="598D6AE3" w14:textId="7C68183A" w:rsidR="000E6E29" w:rsidRPr="000E6E29" w:rsidRDefault="00B64EF4" w:rsidP="000E6E29">
      <w:pPr>
        <w:pStyle w:val="Heading2"/>
        <w:rPr>
          <w:rFonts w:ascii="Arial" w:hAnsi="Arial" w:cs="Arial"/>
          <w:color w:val="auto"/>
        </w:rPr>
      </w:pPr>
      <w:r w:rsidRPr="00B64EF4">
        <w:rPr>
          <w:rFonts w:ascii="Arial" w:hAnsi="Arial" w:cs="Arial"/>
          <w:color w:val="auto"/>
        </w:rPr>
        <w:lastRenderedPageBreak/>
        <w:t>E</w:t>
      </w:r>
      <w:r w:rsidR="00EC060E">
        <w:rPr>
          <w:rFonts w:ascii="Arial" w:hAnsi="Arial" w:cs="Arial"/>
          <w:color w:val="auto"/>
        </w:rPr>
        <w:t>R</w:t>
      </w:r>
      <w:r w:rsidR="000E6E29" w:rsidRPr="000E6E29">
        <w:rPr>
          <w:rFonts w:ascii="Arial" w:hAnsi="Arial" w:cs="Arial"/>
          <w:color w:val="auto"/>
        </w:rPr>
        <w:t xml:space="preserve"> Rate: </w:t>
      </w:r>
    </w:p>
    <w:p w14:paraId="214A7789" w14:textId="77777777" w:rsidR="000E6E29" w:rsidRPr="002242D8" w:rsidRDefault="000E6E29" w:rsidP="000E6E29">
      <w:pPr>
        <w:rPr>
          <w:rFonts w:ascii="Arial" w:hAnsi="Arial" w:cs="Arial"/>
          <w:sz w:val="24"/>
          <w:szCs w:val="24"/>
        </w:rPr>
      </w:pPr>
      <w:r w:rsidRPr="002242D8">
        <w:rPr>
          <w:rFonts w:ascii="Arial" w:hAnsi="Arial" w:cs="Arial"/>
          <w:sz w:val="24"/>
          <w:szCs w:val="24"/>
        </w:rPr>
        <w:t>Selected medical and surgery services are reimbursed at a higher rate when performed in a hospital emergency room. The higher emergency room rates for these services are listed in the “Emergency Room Rate” column. The listed rates are correct plus or minus 1 cent. Caution: the rates in this column apply only if the procedure is a Medi-Cal benefit for an emergency room place of service.</w:t>
      </w:r>
    </w:p>
    <w:p w14:paraId="40D879EB" w14:textId="21883423" w:rsidR="000E6E29" w:rsidRPr="000E6E29" w:rsidRDefault="000E6E29" w:rsidP="000E6E29">
      <w:pPr>
        <w:pStyle w:val="Heading2"/>
        <w:rPr>
          <w:rFonts w:ascii="Arial" w:hAnsi="Arial" w:cs="Arial"/>
          <w:color w:val="auto"/>
        </w:rPr>
      </w:pPr>
      <w:r w:rsidRPr="000E6E29">
        <w:rPr>
          <w:rFonts w:ascii="Arial" w:hAnsi="Arial" w:cs="Arial"/>
          <w:color w:val="auto"/>
        </w:rPr>
        <w:t>Con</w:t>
      </w:r>
      <w:r w:rsidR="00EC060E">
        <w:rPr>
          <w:rFonts w:ascii="Arial" w:hAnsi="Arial" w:cs="Arial"/>
          <w:color w:val="auto"/>
        </w:rPr>
        <w:t>v</w:t>
      </w:r>
      <w:r w:rsidRPr="000E6E29">
        <w:rPr>
          <w:rFonts w:ascii="Arial" w:hAnsi="Arial" w:cs="Arial"/>
          <w:color w:val="auto"/>
        </w:rPr>
        <w:t xml:space="preserve"> Ind: </w:t>
      </w:r>
    </w:p>
    <w:p w14:paraId="4BC9FA39" w14:textId="77777777" w:rsidR="000E6E29" w:rsidRPr="002242D8" w:rsidRDefault="000E6E29" w:rsidP="000E6E29">
      <w:pPr>
        <w:rPr>
          <w:rFonts w:ascii="Arial" w:hAnsi="Arial" w:cs="Arial"/>
          <w:sz w:val="24"/>
          <w:szCs w:val="24"/>
        </w:rPr>
      </w:pPr>
      <w:r w:rsidRPr="002242D8">
        <w:rPr>
          <w:rFonts w:ascii="Arial" w:hAnsi="Arial" w:cs="Arial"/>
          <w:sz w:val="24"/>
          <w:szCs w:val="24"/>
        </w:rPr>
        <w:t>Conversion indicators are associated with dollar conversion factors which are used in the Medi-Cal pricing system to compute rates. In the case of physician services, the conversion indicators listed in the Rates worksheet are for services provided by physicians, non-physician medical practitioners, hospital outpatient departments and podiatrists. To compute rates for other provider types such as clinics and nurse practitioners, see the Conversion Factors worksheet for correlating conversion indicators and conversion factors.</w:t>
      </w:r>
    </w:p>
    <w:p w14:paraId="1E912BFC" w14:textId="647FE2D5" w:rsidR="000E6E29" w:rsidRPr="000E6E29" w:rsidRDefault="00B64EF4" w:rsidP="000E6E29">
      <w:pPr>
        <w:pStyle w:val="Heading2"/>
        <w:rPr>
          <w:rFonts w:ascii="Arial" w:hAnsi="Arial" w:cs="Arial"/>
          <w:color w:val="auto"/>
        </w:rPr>
      </w:pPr>
      <w:r w:rsidRPr="00B64EF4">
        <w:rPr>
          <w:rFonts w:ascii="Arial" w:hAnsi="Arial" w:cs="Arial"/>
          <w:color w:val="auto"/>
        </w:rPr>
        <w:t>E</w:t>
      </w:r>
      <w:r w:rsidR="00EC060E">
        <w:rPr>
          <w:rFonts w:ascii="Arial" w:hAnsi="Arial" w:cs="Arial"/>
          <w:color w:val="auto"/>
        </w:rPr>
        <w:t>R</w:t>
      </w:r>
      <w:r w:rsidR="000E6E29" w:rsidRPr="000E6E29">
        <w:rPr>
          <w:rFonts w:ascii="Arial" w:hAnsi="Arial" w:cs="Arial"/>
          <w:color w:val="auto"/>
        </w:rPr>
        <w:t xml:space="preserve"> </w:t>
      </w:r>
      <w:r w:rsidRPr="00B64EF4">
        <w:rPr>
          <w:rFonts w:ascii="Arial" w:hAnsi="Arial" w:cs="Arial"/>
          <w:color w:val="auto"/>
        </w:rPr>
        <w:t>Ind</w:t>
      </w:r>
      <w:r w:rsidR="000E6E29" w:rsidRPr="000E6E29">
        <w:rPr>
          <w:rFonts w:ascii="Arial" w:hAnsi="Arial" w:cs="Arial"/>
          <w:color w:val="auto"/>
        </w:rPr>
        <w:t xml:space="preserve">: </w:t>
      </w:r>
    </w:p>
    <w:p w14:paraId="42511CC4" w14:textId="77777777" w:rsidR="000E6E29" w:rsidRPr="002242D8" w:rsidRDefault="000E6E29" w:rsidP="000E6E29">
      <w:pPr>
        <w:rPr>
          <w:rFonts w:ascii="Arial" w:hAnsi="Arial" w:cs="Arial"/>
          <w:sz w:val="24"/>
          <w:szCs w:val="24"/>
        </w:rPr>
      </w:pPr>
      <w:r w:rsidRPr="002242D8">
        <w:rPr>
          <w:rFonts w:ascii="Arial" w:hAnsi="Arial" w:cs="Arial"/>
          <w:sz w:val="24"/>
          <w:szCs w:val="24"/>
        </w:rPr>
        <w:t>Indicates the rates for medical and surgery services which exceed the basic rate when provided in an emergency room place of service. The higher emergency room conversion factor for these services is used when the service is provided in a hospital emergency room. A “1” in this column signifies that the higher rate is reimbursable, if this procedure is otherwise a Medi-Cal benefit in this place of service.</w:t>
      </w:r>
    </w:p>
    <w:p w14:paraId="3CC96A36" w14:textId="77777777" w:rsidR="000E6E29" w:rsidRPr="002242D8" w:rsidRDefault="000E6E29" w:rsidP="000E6E29">
      <w:pPr>
        <w:rPr>
          <w:rFonts w:ascii="Arial" w:hAnsi="Arial" w:cs="Arial"/>
          <w:sz w:val="24"/>
          <w:szCs w:val="24"/>
        </w:rPr>
      </w:pPr>
      <w:r w:rsidRPr="002242D8">
        <w:rPr>
          <w:rFonts w:ascii="Arial" w:hAnsi="Arial" w:cs="Arial"/>
          <w:sz w:val="24"/>
          <w:szCs w:val="24"/>
        </w:rPr>
        <w:t>Use these rules to price services provided in a hospital emergency room:</w:t>
      </w:r>
    </w:p>
    <w:p w14:paraId="15FC7FBF" w14:textId="77777777" w:rsidR="000E6E29" w:rsidRPr="002242D8" w:rsidRDefault="000E6E29" w:rsidP="000E6E29">
      <w:pPr>
        <w:pStyle w:val="ListParagraph"/>
        <w:numPr>
          <w:ilvl w:val="0"/>
          <w:numId w:val="2"/>
        </w:numPr>
        <w:rPr>
          <w:rFonts w:ascii="Arial" w:hAnsi="Arial" w:cs="Arial"/>
          <w:sz w:val="24"/>
          <w:szCs w:val="24"/>
        </w:rPr>
      </w:pPr>
      <w:r w:rsidRPr="002242D8">
        <w:rPr>
          <w:rFonts w:ascii="Arial" w:hAnsi="Arial" w:cs="Arial"/>
          <w:sz w:val="24"/>
          <w:szCs w:val="24"/>
        </w:rPr>
        <w:t>If “ER Indicator” equals “1” and “Conversion Indicator” on the Rates worksheet equals “07”, use conversion factor $1.04 to compute the maximum rate;</w:t>
      </w:r>
    </w:p>
    <w:p w14:paraId="12BD8BF8" w14:textId="77777777" w:rsidR="000E6E29" w:rsidRPr="002242D8" w:rsidRDefault="000E6E29" w:rsidP="000E6E29">
      <w:pPr>
        <w:pStyle w:val="ListParagraph"/>
        <w:numPr>
          <w:ilvl w:val="0"/>
          <w:numId w:val="2"/>
        </w:numPr>
        <w:rPr>
          <w:rFonts w:ascii="Arial" w:hAnsi="Arial" w:cs="Arial"/>
          <w:sz w:val="24"/>
          <w:szCs w:val="24"/>
        </w:rPr>
      </w:pPr>
      <w:r w:rsidRPr="002242D8">
        <w:rPr>
          <w:rFonts w:ascii="Arial" w:hAnsi="Arial" w:cs="Arial"/>
          <w:sz w:val="24"/>
          <w:szCs w:val="24"/>
        </w:rPr>
        <w:t>If “ER Indicator” equals “1” and “Conversion Indicator” on the Rates worksheet equals “04”, use conversion factor $46.95 to compute the maximum rate;</w:t>
      </w:r>
    </w:p>
    <w:p w14:paraId="0CAF6ACF" w14:textId="77777777" w:rsidR="000E6E29" w:rsidRPr="002242D8" w:rsidRDefault="000E6E29" w:rsidP="000E6E29">
      <w:pPr>
        <w:pStyle w:val="ListParagraph"/>
        <w:numPr>
          <w:ilvl w:val="0"/>
          <w:numId w:val="2"/>
        </w:numPr>
        <w:rPr>
          <w:rFonts w:ascii="Arial" w:hAnsi="Arial" w:cs="Arial"/>
          <w:sz w:val="24"/>
          <w:szCs w:val="24"/>
        </w:rPr>
      </w:pPr>
      <w:r w:rsidRPr="002242D8">
        <w:rPr>
          <w:rFonts w:ascii="Arial" w:hAnsi="Arial" w:cs="Arial"/>
          <w:sz w:val="24"/>
          <w:szCs w:val="24"/>
        </w:rPr>
        <w:t>If “ER Indicator” equals “1” and “Conversion Indicator” on the Rates worksheet equals “01”or “53”, use conversion factor $12.42 to compute the maximum rate;</w:t>
      </w:r>
    </w:p>
    <w:p w14:paraId="40A14624" w14:textId="77777777" w:rsidR="000E6E29" w:rsidRPr="000E6E29" w:rsidRDefault="000E6E29" w:rsidP="000E6E29">
      <w:pPr>
        <w:pStyle w:val="ListParagraph"/>
        <w:numPr>
          <w:ilvl w:val="0"/>
          <w:numId w:val="2"/>
        </w:numPr>
        <w:rPr>
          <w:rFonts w:ascii="Arial" w:hAnsi="Arial" w:cs="Arial"/>
        </w:rPr>
      </w:pPr>
      <w:r w:rsidRPr="002242D8">
        <w:rPr>
          <w:rFonts w:ascii="Arial" w:hAnsi="Arial" w:cs="Arial"/>
          <w:sz w:val="24"/>
          <w:szCs w:val="24"/>
        </w:rPr>
        <w:t>If “ER Indicator” equals “1” and “Conversion Indicator” does not equal “07”, “04”, “01” or “53”, or if “ER Indicator” equals “0”, use the “Basic Rate” or the “Child Rate” listed in the Rates worksheet.</w:t>
      </w:r>
    </w:p>
    <w:p w14:paraId="060C9CBD" w14:textId="41C7E656" w:rsidR="000E6E29" w:rsidRPr="000E6E29" w:rsidRDefault="000E6E29" w:rsidP="000E6E29">
      <w:pPr>
        <w:pStyle w:val="Heading2"/>
        <w:rPr>
          <w:rFonts w:ascii="Arial" w:hAnsi="Arial" w:cs="Arial"/>
          <w:color w:val="auto"/>
        </w:rPr>
      </w:pPr>
      <w:r w:rsidRPr="000E6E29">
        <w:rPr>
          <w:rFonts w:ascii="Arial" w:hAnsi="Arial" w:cs="Arial"/>
          <w:color w:val="auto"/>
        </w:rPr>
        <w:t xml:space="preserve">Cutback </w:t>
      </w:r>
      <w:r w:rsidR="00B64EF4" w:rsidRPr="00B64EF4">
        <w:rPr>
          <w:rFonts w:ascii="Arial" w:hAnsi="Arial" w:cs="Arial"/>
          <w:color w:val="auto"/>
        </w:rPr>
        <w:t>Ind</w:t>
      </w:r>
      <w:r w:rsidRPr="000E6E29">
        <w:rPr>
          <w:rFonts w:ascii="Arial" w:hAnsi="Arial" w:cs="Arial"/>
          <w:color w:val="auto"/>
        </w:rPr>
        <w:t xml:space="preserve">: </w:t>
      </w:r>
    </w:p>
    <w:p w14:paraId="2CE5A0FB" w14:textId="77777777" w:rsidR="000E6E29" w:rsidRPr="002242D8" w:rsidRDefault="000E6E29" w:rsidP="000E6E29">
      <w:pPr>
        <w:rPr>
          <w:rFonts w:ascii="Arial" w:hAnsi="Arial" w:cs="Arial"/>
          <w:sz w:val="24"/>
          <w:szCs w:val="24"/>
        </w:rPr>
      </w:pPr>
      <w:r w:rsidRPr="002242D8">
        <w:rPr>
          <w:rFonts w:ascii="Arial" w:hAnsi="Arial" w:cs="Arial"/>
          <w:sz w:val="24"/>
          <w:szCs w:val="24"/>
        </w:rPr>
        <w:t>This field identifies medical services which are subject to a 20 percent rate reduction when performed in a hospital outpatient department or, for surgical procedures, in a surgical clinic. The cutback does not apply to an emergency room place of service. A “1” means the procedure is subject to the 20 percent place of service reduction. A “0” means the procedure is not subject to the reduction.</w:t>
      </w:r>
    </w:p>
    <w:p w14:paraId="005D7802" w14:textId="61E79F49" w:rsidR="000E6E29" w:rsidRPr="000E6E29" w:rsidRDefault="000E6E29" w:rsidP="000E6E29">
      <w:pPr>
        <w:pStyle w:val="Heading2"/>
        <w:rPr>
          <w:rFonts w:ascii="Arial" w:hAnsi="Arial" w:cs="Arial"/>
          <w:color w:val="auto"/>
        </w:rPr>
      </w:pPr>
      <w:r w:rsidRPr="000E6E29">
        <w:rPr>
          <w:rFonts w:ascii="Arial" w:hAnsi="Arial" w:cs="Arial"/>
          <w:color w:val="auto"/>
        </w:rPr>
        <w:t xml:space="preserve">Prof %: </w:t>
      </w:r>
    </w:p>
    <w:p w14:paraId="1CD18865" w14:textId="77777777" w:rsidR="000E6E29" w:rsidRPr="002242D8" w:rsidRDefault="000E6E29" w:rsidP="000E6E29">
      <w:pPr>
        <w:rPr>
          <w:rFonts w:ascii="Arial" w:hAnsi="Arial" w:cs="Arial"/>
          <w:sz w:val="24"/>
          <w:szCs w:val="24"/>
        </w:rPr>
      </w:pPr>
      <w:r w:rsidRPr="002242D8">
        <w:rPr>
          <w:rFonts w:ascii="Arial" w:hAnsi="Arial" w:cs="Arial"/>
          <w:sz w:val="24"/>
          <w:szCs w:val="24"/>
        </w:rPr>
        <w:t xml:space="preserve">This percentage is the maximum rate reimbursable as the professional component. The balance of the rate is reimbursable as the technical component. This field applies mainly </w:t>
      </w:r>
      <w:r w:rsidRPr="002242D8">
        <w:rPr>
          <w:rFonts w:ascii="Arial" w:hAnsi="Arial" w:cs="Arial"/>
          <w:sz w:val="24"/>
          <w:szCs w:val="24"/>
        </w:rPr>
        <w:lastRenderedPageBreak/>
        <w:t>to pathology, radiology, and certain other diagnostic procedures. A “0” means not applicable.</w:t>
      </w:r>
    </w:p>
    <w:p w14:paraId="2D6A4FDA" w14:textId="77777777" w:rsidR="000E6E29" w:rsidRPr="000E6E29" w:rsidRDefault="000E6E29" w:rsidP="000E6E29">
      <w:pPr>
        <w:pStyle w:val="Heading2"/>
        <w:rPr>
          <w:rFonts w:ascii="Arial" w:hAnsi="Arial" w:cs="Arial"/>
          <w:color w:val="auto"/>
        </w:rPr>
      </w:pPr>
      <w:r w:rsidRPr="000E6E29">
        <w:rPr>
          <w:rFonts w:ascii="Arial" w:hAnsi="Arial" w:cs="Arial"/>
          <w:color w:val="auto"/>
        </w:rPr>
        <w:t xml:space="preserve">Rental Rate: </w:t>
      </w:r>
    </w:p>
    <w:p w14:paraId="62863928" w14:textId="77777777" w:rsidR="000E6E29" w:rsidRPr="002242D8" w:rsidRDefault="000E6E29" w:rsidP="000E6E29">
      <w:pPr>
        <w:rPr>
          <w:rFonts w:ascii="Arial" w:hAnsi="Arial" w:cs="Arial"/>
          <w:sz w:val="24"/>
          <w:szCs w:val="24"/>
        </w:rPr>
      </w:pPr>
      <w:r w:rsidRPr="002242D8">
        <w:rPr>
          <w:rFonts w:ascii="Arial" w:hAnsi="Arial" w:cs="Arial"/>
          <w:sz w:val="24"/>
          <w:szCs w:val="24"/>
        </w:rPr>
        <w:t>The rental rate for durable medical equipment.</w:t>
      </w:r>
    </w:p>
    <w:p w14:paraId="524BA100" w14:textId="08D278F0" w:rsidR="000E6E29" w:rsidRPr="000E6E29" w:rsidRDefault="000E6E29" w:rsidP="000E6E29">
      <w:pPr>
        <w:pStyle w:val="Heading2"/>
        <w:rPr>
          <w:rFonts w:ascii="Arial" w:hAnsi="Arial" w:cs="Arial"/>
          <w:color w:val="auto"/>
        </w:rPr>
      </w:pPr>
      <w:r w:rsidRPr="000E6E29">
        <w:rPr>
          <w:rFonts w:ascii="Arial" w:hAnsi="Arial" w:cs="Arial"/>
          <w:color w:val="auto"/>
        </w:rPr>
        <w:t>Non-</w:t>
      </w:r>
      <w:r w:rsidR="00B64EF4">
        <w:rPr>
          <w:rFonts w:ascii="Arial" w:hAnsi="Arial" w:cs="Arial"/>
          <w:color w:val="auto"/>
        </w:rPr>
        <w:t>P</w:t>
      </w:r>
      <w:r w:rsidR="00B64EF4" w:rsidRPr="00B64EF4">
        <w:rPr>
          <w:rFonts w:ascii="Arial" w:hAnsi="Arial" w:cs="Arial"/>
          <w:color w:val="auto"/>
        </w:rPr>
        <w:t>hysn</w:t>
      </w:r>
      <w:r w:rsidRPr="000E6E29">
        <w:rPr>
          <w:rFonts w:ascii="Arial" w:hAnsi="Arial" w:cs="Arial"/>
          <w:color w:val="auto"/>
        </w:rPr>
        <w:t xml:space="preserve"> Med Prac Ind: </w:t>
      </w:r>
    </w:p>
    <w:p w14:paraId="3A6C654D" w14:textId="77777777" w:rsidR="000E6E29" w:rsidRPr="002242D8" w:rsidRDefault="000E6E29" w:rsidP="000E6E29">
      <w:pPr>
        <w:rPr>
          <w:rFonts w:ascii="Arial" w:hAnsi="Arial" w:cs="Arial"/>
          <w:sz w:val="24"/>
          <w:szCs w:val="24"/>
        </w:rPr>
      </w:pPr>
      <w:r w:rsidRPr="002242D8">
        <w:rPr>
          <w:rFonts w:ascii="Arial" w:hAnsi="Arial" w:cs="Arial"/>
          <w:sz w:val="24"/>
          <w:szCs w:val="24"/>
        </w:rPr>
        <w:t>A “Y” in this column signifies the procedure may be reimbursable if performed by a non-physician medical practitioner. An “N” in this column signifies the procedure is not reimbursable if performed by a non-physician medical practitioner.</w:t>
      </w:r>
    </w:p>
    <w:p w14:paraId="6B770ED1" w14:textId="77777777" w:rsidR="000E6E29" w:rsidRPr="000E6E29" w:rsidRDefault="000E6E29" w:rsidP="000E6E29">
      <w:pPr>
        <w:pStyle w:val="Heading2"/>
        <w:rPr>
          <w:rFonts w:ascii="Arial" w:hAnsi="Arial" w:cs="Arial"/>
          <w:color w:val="auto"/>
        </w:rPr>
      </w:pPr>
      <w:r w:rsidRPr="000E6E29">
        <w:rPr>
          <w:rFonts w:ascii="Arial" w:hAnsi="Arial" w:cs="Arial"/>
          <w:color w:val="auto"/>
        </w:rPr>
        <w:t xml:space="preserve">Hospital Outpatient Services: </w:t>
      </w:r>
    </w:p>
    <w:p w14:paraId="51804B94" w14:textId="77777777" w:rsidR="000E6E29" w:rsidRPr="002242D8" w:rsidRDefault="000E6E29" w:rsidP="000E6E29">
      <w:pPr>
        <w:rPr>
          <w:rFonts w:ascii="Arial" w:hAnsi="Arial" w:cs="Arial"/>
          <w:sz w:val="24"/>
          <w:szCs w:val="24"/>
        </w:rPr>
      </w:pPr>
      <w:r w:rsidRPr="002242D8">
        <w:rPr>
          <w:rFonts w:ascii="Arial" w:hAnsi="Arial" w:cs="Arial"/>
          <w:sz w:val="24"/>
          <w:szCs w:val="24"/>
        </w:rPr>
        <w:t>In accordance with the federal and state court judgments in the cases of Orthopaedic Hospital, et al. v. Belshe; San Bernardino County, et al. v. Department of Health Services; and Barlow Respiratory Hospital, et al. v. Department of Health Services, the Medi-Cal Program began reimbursing hospital outpatient department claims an additional amount equal to 30% of the reimbursement rate in effect on June 30, 2001. Rates in effect on June 30, 2001, are considered the base rate for purposes of this calculation. During the period July 1, 2001, through July 1, 2004, the percentage amount will increase as follows:</w:t>
      </w:r>
    </w:p>
    <w:p w14:paraId="41E05D15" w14:textId="77777777" w:rsidR="000E6E29" w:rsidRPr="002242D8" w:rsidRDefault="000E6E29" w:rsidP="000E6E29">
      <w:pPr>
        <w:pStyle w:val="ListParagraph"/>
        <w:numPr>
          <w:ilvl w:val="0"/>
          <w:numId w:val="3"/>
        </w:numPr>
        <w:rPr>
          <w:rFonts w:ascii="Arial" w:hAnsi="Arial" w:cs="Arial"/>
          <w:sz w:val="24"/>
          <w:szCs w:val="24"/>
        </w:rPr>
      </w:pPr>
      <w:r w:rsidRPr="002242D8">
        <w:rPr>
          <w:rFonts w:ascii="Arial" w:hAnsi="Arial" w:cs="Arial"/>
          <w:sz w:val="24"/>
          <w:szCs w:val="24"/>
        </w:rPr>
        <w:t>Effective July 1, 2001, through June 30, 2002, the additional amount will equal 30.00 percent of the base rate.</w:t>
      </w:r>
    </w:p>
    <w:p w14:paraId="575FD32E" w14:textId="77777777" w:rsidR="000E6E29" w:rsidRPr="002242D8" w:rsidRDefault="000E6E29" w:rsidP="000E6E29">
      <w:pPr>
        <w:pStyle w:val="ListParagraph"/>
        <w:numPr>
          <w:ilvl w:val="0"/>
          <w:numId w:val="3"/>
        </w:numPr>
        <w:rPr>
          <w:rFonts w:ascii="Arial" w:hAnsi="Arial" w:cs="Arial"/>
          <w:sz w:val="24"/>
          <w:szCs w:val="24"/>
        </w:rPr>
      </w:pPr>
      <w:r w:rsidRPr="002242D8">
        <w:rPr>
          <w:rFonts w:ascii="Arial" w:hAnsi="Arial" w:cs="Arial"/>
          <w:sz w:val="24"/>
          <w:szCs w:val="24"/>
        </w:rPr>
        <w:t>Effective July 1, 2002, through June 30, 2003, the additional amount will equal 34.30 percent of the base rate.</w:t>
      </w:r>
    </w:p>
    <w:p w14:paraId="123582C6" w14:textId="77777777" w:rsidR="000E6E29" w:rsidRPr="002242D8" w:rsidRDefault="000E6E29" w:rsidP="000E6E29">
      <w:pPr>
        <w:pStyle w:val="ListParagraph"/>
        <w:numPr>
          <w:ilvl w:val="0"/>
          <w:numId w:val="3"/>
        </w:numPr>
        <w:rPr>
          <w:rFonts w:ascii="Arial" w:hAnsi="Arial" w:cs="Arial"/>
          <w:sz w:val="24"/>
          <w:szCs w:val="24"/>
        </w:rPr>
      </w:pPr>
      <w:r w:rsidRPr="002242D8">
        <w:rPr>
          <w:rFonts w:ascii="Arial" w:hAnsi="Arial" w:cs="Arial"/>
          <w:sz w:val="24"/>
          <w:szCs w:val="24"/>
        </w:rPr>
        <w:t>Effective July 1, 2003, through June 30, 2004, the additional amount will equal 38.81 percent of the base rate.</w:t>
      </w:r>
    </w:p>
    <w:p w14:paraId="29E6B176" w14:textId="77777777" w:rsidR="000E6E29" w:rsidRPr="002242D8" w:rsidRDefault="000E6E29" w:rsidP="000E6E29">
      <w:pPr>
        <w:pStyle w:val="ListParagraph"/>
        <w:numPr>
          <w:ilvl w:val="0"/>
          <w:numId w:val="3"/>
        </w:numPr>
        <w:rPr>
          <w:rFonts w:ascii="Arial" w:hAnsi="Arial" w:cs="Arial"/>
          <w:sz w:val="24"/>
          <w:szCs w:val="24"/>
        </w:rPr>
      </w:pPr>
      <w:r w:rsidRPr="002242D8">
        <w:rPr>
          <w:rFonts w:ascii="Arial" w:hAnsi="Arial" w:cs="Arial"/>
          <w:sz w:val="24"/>
          <w:szCs w:val="24"/>
        </w:rPr>
        <w:t>Effective July 1, 2004, the additional amount will equal 43.44 percent of the base rate.</w:t>
      </w:r>
    </w:p>
    <w:p w14:paraId="1232B2F1" w14:textId="566A9306" w:rsidR="000E6E29" w:rsidRPr="000E6E29" w:rsidRDefault="000E6E29" w:rsidP="000E6E29">
      <w:pPr>
        <w:rPr>
          <w:rFonts w:ascii="Arial" w:hAnsi="Arial" w:cs="Arial"/>
        </w:rPr>
      </w:pPr>
      <w:r w:rsidRPr="002242D8">
        <w:rPr>
          <w:rFonts w:ascii="Arial" w:hAnsi="Arial" w:cs="Arial"/>
          <w:sz w:val="24"/>
          <w:szCs w:val="24"/>
        </w:rPr>
        <w:t xml:space="preserve">This additional reimbursement will </w:t>
      </w:r>
      <w:r w:rsidRPr="00EC060E">
        <w:rPr>
          <w:rFonts w:ascii="Arial" w:hAnsi="Arial" w:cs="Arial"/>
          <w:b/>
          <w:bCs/>
          <w:sz w:val="24"/>
          <w:szCs w:val="24"/>
        </w:rPr>
        <w:t>only</w:t>
      </w:r>
      <w:r w:rsidR="0090350C">
        <w:rPr>
          <w:rFonts w:ascii="Arial" w:hAnsi="Arial" w:cs="Arial"/>
          <w:b/>
          <w:bCs/>
          <w:sz w:val="24"/>
          <w:szCs w:val="24"/>
        </w:rPr>
        <w:t xml:space="preserve"> </w:t>
      </w:r>
      <w:r w:rsidRPr="002242D8">
        <w:rPr>
          <w:rFonts w:ascii="Arial" w:hAnsi="Arial" w:cs="Arial"/>
          <w:sz w:val="24"/>
          <w:szCs w:val="24"/>
        </w:rPr>
        <w:t>apply to claims for hospital outpatient services from hospitals billing with a currently active hospital outpatient department provider number and to services provided on or after July 1, 2001. It will not apply to amounts payable for drugs or medical supplies reimbursed in accordance with Title 22, Sections 51513 &amp; 51520, services that are currently paid a cost based rate, and services for which no rate was established as of June 30, 2001. Also, the additional reimbursement will not be paid for a clinical diagnostic laboratory test in an amount that exceeds the difference between the rate established as of June 30, 2001, and the payment rate recognized for the test under title 42 United States Code, Section 1395(h) under Part B of the Medicare program.</w:t>
      </w:r>
    </w:p>
    <w:p w14:paraId="711C9179" w14:textId="77777777" w:rsidR="00984CDD" w:rsidRDefault="00984CDD" w:rsidP="00730435">
      <w:pPr>
        <w:spacing w:after="0"/>
        <w:rPr>
          <w:rFonts w:ascii="Arial" w:hAnsi="Arial" w:cs="Arial"/>
          <w:sz w:val="24"/>
          <w:szCs w:val="24"/>
        </w:rPr>
      </w:pPr>
    </w:p>
    <w:p w14:paraId="2F7C5950" w14:textId="77777777" w:rsidR="00CF3ECD" w:rsidRPr="0044336C" w:rsidRDefault="00CF3ECD" w:rsidP="00CF3ECD">
      <w:pPr>
        <w:spacing w:after="0"/>
        <w:rPr>
          <w:rFonts w:ascii="Arial" w:hAnsi="Arial" w:cs="Arial"/>
          <w:sz w:val="26"/>
          <w:szCs w:val="26"/>
        </w:rPr>
      </w:pPr>
      <w:r w:rsidRPr="0044336C">
        <w:rPr>
          <w:rFonts w:ascii="Arial" w:hAnsi="Arial" w:cs="Arial"/>
          <w:sz w:val="26"/>
          <w:szCs w:val="26"/>
        </w:rPr>
        <w:t>Comprehensive Family Planning Services:</w:t>
      </w:r>
    </w:p>
    <w:p w14:paraId="507B2A41"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 xml:space="preserve">Pursuant to Welfare and Institutions Code section 14105.181 and State Plan, </w:t>
      </w:r>
    </w:p>
    <w:p w14:paraId="2010D170"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 xml:space="preserve">Attachment 4.19-B, page 3g, reimbursement rates for Evaluation and Management </w:t>
      </w:r>
    </w:p>
    <w:p w14:paraId="403F76A7"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lastRenderedPageBreak/>
        <w:t>(E&amp;M) codes for qualifying comprehensive family planning services are</w:t>
      </w:r>
    </w:p>
    <w:p w14:paraId="5DB7AAA6"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calculated using the unit value for each qualifying E&amp;M code times the applicable</w:t>
      </w:r>
    </w:p>
    <w:p w14:paraId="6A1A952B" w14:textId="77777777" w:rsidR="00CF3ECD" w:rsidRDefault="00CF3ECD" w:rsidP="00CF3ECD">
      <w:pPr>
        <w:spacing w:after="0"/>
        <w:rPr>
          <w:rFonts w:ascii="Arial" w:hAnsi="Arial" w:cs="Arial"/>
          <w:sz w:val="24"/>
          <w:szCs w:val="24"/>
        </w:rPr>
      </w:pPr>
      <w:r w:rsidRPr="00CF3ECD">
        <w:rPr>
          <w:rFonts w:ascii="Arial" w:hAnsi="Arial" w:cs="Arial"/>
          <w:sz w:val="24"/>
          <w:szCs w:val="24"/>
        </w:rPr>
        <w:t>conversion factor plus 90.9 percent.</w:t>
      </w:r>
    </w:p>
    <w:p w14:paraId="13EAAA3B" w14:textId="77777777" w:rsidR="00641D6A" w:rsidRPr="00CF3ECD" w:rsidRDefault="00641D6A" w:rsidP="00CF3ECD">
      <w:pPr>
        <w:spacing w:after="0"/>
        <w:rPr>
          <w:rFonts w:ascii="Arial" w:hAnsi="Arial" w:cs="Arial"/>
          <w:sz w:val="24"/>
          <w:szCs w:val="24"/>
        </w:rPr>
      </w:pPr>
    </w:p>
    <w:p w14:paraId="18D97DEC"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 xml:space="preserve">E&amp;M Current Procedural Terminology (CPT) codes and Primary Family Planning </w:t>
      </w:r>
    </w:p>
    <w:p w14:paraId="6AC07E67"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 xml:space="preserve">Diagnosis Codes that qualify as Comprehensive Family Planning Services are </w:t>
      </w:r>
    </w:p>
    <w:p w14:paraId="75BE340B" w14:textId="77777777" w:rsidR="00CF3ECD" w:rsidRDefault="00CF3ECD" w:rsidP="00CF3ECD">
      <w:pPr>
        <w:spacing w:after="0"/>
        <w:rPr>
          <w:rFonts w:ascii="Arial" w:hAnsi="Arial" w:cs="Arial"/>
          <w:sz w:val="24"/>
          <w:szCs w:val="24"/>
        </w:rPr>
      </w:pPr>
      <w:r w:rsidRPr="00CF3ECD">
        <w:rPr>
          <w:rFonts w:ascii="Arial" w:hAnsi="Arial" w:cs="Arial"/>
          <w:sz w:val="24"/>
          <w:szCs w:val="24"/>
        </w:rPr>
        <w:t>listed below:</w:t>
      </w:r>
    </w:p>
    <w:p w14:paraId="5CE73C53" w14:textId="77777777" w:rsidR="00641D6A" w:rsidRPr="00CF3ECD" w:rsidRDefault="00641D6A" w:rsidP="00CF3ECD">
      <w:pPr>
        <w:spacing w:after="0"/>
        <w:rPr>
          <w:rFonts w:ascii="Arial" w:hAnsi="Arial" w:cs="Arial"/>
          <w:sz w:val="24"/>
          <w:szCs w:val="24"/>
        </w:rPr>
      </w:pPr>
    </w:p>
    <w:p w14:paraId="1CDF8927"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 xml:space="preserve">E&amp;M CPT codes 99202, 99203, 99204, 99211, 99212, 99213, or 99214 billed with a </w:t>
      </w:r>
    </w:p>
    <w:p w14:paraId="469D5A16"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 xml:space="preserve">primary family planning diagnosis code of Z30.011-Z30.019; Z30.02; Z30.09, Z30.2, </w:t>
      </w:r>
    </w:p>
    <w:p w14:paraId="1D95CB52"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 xml:space="preserve">Z30.40-Z30.42; Z30.430-Z30.431; Z30.44-Z30.46; Z30.49; Z30.8-Z30.9 ; Z31.430; </w:t>
      </w:r>
    </w:p>
    <w:p w14:paraId="16A5CDA7" w14:textId="77777777" w:rsidR="00CF3ECD" w:rsidRDefault="00CF3ECD" w:rsidP="00CF3ECD">
      <w:pPr>
        <w:spacing w:after="0"/>
        <w:rPr>
          <w:rFonts w:ascii="Arial" w:hAnsi="Arial" w:cs="Arial"/>
          <w:sz w:val="24"/>
          <w:szCs w:val="24"/>
        </w:rPr>
      </w:pPr>
      <w:r w:rsidRPr="00CF3ECD">
        <w:rPr>
          <w:rFonts w:ascii="Arial" w:hAnsi="Arial" w:cs="Arial"/>
          <w:sz w:val="24"/>
          <w:szCs w:val="24"/>
        </w:rPr>
        <w:t>Z31.438; Z31.440-Z31.441; Z31.5; Z71.83.</w:t>
      </w:r>
    </w:p>
    <w:p w14:paraId="22E70DDE" w14:textId="77777777" w:rsidR="00641D6A" w:rsidRPr="00CF3ECD" w:rsidRDefault="00641D6A" w:rsidP="00CF3ECD">
      <w:pPr>
        <w:spacing w:after="0"/>
        <w:rPr>
          <w:rFonts w:ascii="Arial" w:hAnsi="Arial" w:cs="Arial"/>
          <w:sz w:val="24"/>
          <w:szCs w:val="24"/>
        </w:rPr>
      </w:pPr>
    </w:p>
    <w:p w14:paraId="71CF305E" w14:textId="77777777" w:rsidR="00CF3ECD" w:rsidRPr="00CF3ECD" w:rsidRDefault="00CF3ECD" w:rsidP="00CF3ECD">
      <w:pPr>
        <w:spacing w:after="0"/>
        <w:rPr>
          <w:rFonts w:ascii="Arial" w:hAnsi="Arial" w:cs="Arial"/>
          <w:sz w:val="24"/>
          <w:szCs w:val="24"/>
        </w:rPr>
      </w:pPr>
      <w:r w:rsidRPr="00CF3ECD">
        <w:rPr>
          <w:rFonts w:ascii="Arial" w:hAnsi="Arial" w:cs="Arial"/>
          <w:sz w:val="24"/>
          <w:szCs w:val="24"/>
        </w:rPr>
        <w:t xml:space="preserve">Procedure type X is not eligible for the above-mentioned reimbursement rate </w:t>
      </w:r>
    </w:p>
    <w:p w14:paraId="45CB7C49" w14:textId="347F88E6" w:rsidR="00CF3ECD" w:rsidRPr="00CF3ECD" w:rsidRDefault="00CF3ECD" w:rsidP="00CF3ECD">
      <w:pPr>
        <w:spacing w:after="0"/>
        <w:rPr>
          <w:rFonts w:ascii="Arial" w:hAnsi="Arial" w:cs="Arial"/>
          <w:sz w:val="24"/>
          <w:szCs w:val="24"/>
        </w:rPr>
      </w:pPr>
      <w:r w:rsidRPr="00CF3ECD">
        <w:rPr>
          <w:rFonts w:ascii="Arial" w:hAnsi="Arial" w:cs="Arial"/>
          <w:sz w:val="24"/>
          <w:szCs w:val="24"/>
        </w:rPr>
        <w:t>adjustments associated with Comprehensive Family Planning Services.</w:t>
      </w:r>
    </w:p>
    <w:sectPr w:rsidR="00CF3ECD" w:rsidRPr="00CF3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1C0"/>
    <w:multiLevelType w:val="hybridMultilevel"/>
    <w:tmpl w:val="C5A86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47370"/>
    <w:multiLevelType w:val="hybridMultilevel"/>
    <w:tmpl w:val="B9EA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37853"/>
    <w:multiLevelType w:val="hybridMultilevel"/>
    <w:tmpl w:val="C978A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122B3"/>
    <w:multiLevelType w:val="hybridMultilevel"/>
    <w:tmpl w:val="D2AE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993683">
    <w:abstractNumId w:val="1"/>
  </w:num>
  <w:num w:numId="2" w16cid:durableId="1520195476">
    <w:abstractNumId w:val="2"/>
  </w:num>
  <w:num w:numId="3" w16cid:durableId="1935161141">
    <w:abstractNumId w:val="3"/>
  </w:num>
  <w:num w:numId="4" w16cid:durableId="201151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E29"/>
    <w:rsid w:val="000E6E29"/>
    <w:rsid w:val="00171CC3"/>
    <w:rsid w:val="001F2A43"/>
    <w:rsid w:val="001F35DD"/>
    <w:rsid w:val="002242D8"/>
    <w:rsid w:val="0030198A"/>
    <w:rsid w:val="00402D3B"/>
    <w:rsid w:val="004063B8"/>
    <w:rsid w:val="0044336C"/>
    <w:rsid w:val="004E59B7"/>
    <w:rsid w:val="00541C8F"/>
    <w:rsid w:val="005803A5"/>
    <w:rsid w:val="005B3737"/>
    <w:rsid w:val="00622A75"/>
    <w:rsid w:val="00635D5C"/>
    <w:rsid w:val="00641D6A"/>
    <w:rsid w:val="007154B1"/>
    <w:rsid w:val="00730435"/>
    <w:rsid w:val="00735698"/>
    <w:rsid w:val="00780CE3"/>
    <w:rsid w:val="0082741A"/>
    <w:rsid w:val="008431A3"/>
    <w:rsid w:val="00856EAB"/>
    <w:rsid w:val="008B0398"/>
    <w:rsid w:val="008D07E2"/>
    <w:rsid w:val="0090350C"/>
    <w:rsid w:val="00984CDD"/>
    <w:rsid w:val="0099672B"/>
    <w:rsid w:val="00996730"/>
    <w:rsid w:val="009B18EA"/>
    <w:rsid w:val="00A03043"/>
    <w:rsid w:val="00A41AC6"/>
    <w:rsid w:val="00A468D9"/>
    <w:rsid w:val="00AA733B"/>
    <w:rsid w:val="00B64EF4"/>
    <w:rsid w:val="00B758BD"/>
    <w:rsid w:val="00BB6C3D"/>
    <w:rsid w:val="00BD33E2"/>
    <w:rsid w:val="00C3497B"/>
    <w:rsid w:val="00C40A39"/>
    <w:rsid w:val="00CF3ECD"/>
    <w:rsid w:val="00D23BE6"/>
    <w:rsid w:val="00D8146D"/>
    <w:rsid w:val="00DE7D1C"/>
    <w:rsid w:val="00E12FEB"/>
    <w:rsid w:val="00E51CF2"/>
    <w:rsid w:val="00EB4B18"/>
    <w:rsid w:val="00EB5691"/>
    <w:rsid w:val="00EC060E"/>
    <w:rsid w:val="00EE24EE"/>
    <w:rsid w:val="00F647F6"/>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0A0"/>
  <w15:chartTrackingRefBased/>
  <w15:docId w15:val="{E2803809-F194-4FB3-A8BC-9BE7B5D5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E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E6E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E2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6E2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E6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E29"/>
    <w:pPr>
      <w:ind w:left="720"/>
      <w:contextualSpacing/>
    </w:pPr>
  </w:style>
  <w:style w:type="paragraph" w:styleId="BalloonText">
    <w:name w:val="Balloon Text"/>
    <w:basedOn w:val="Normal"/>
    <w:link w:val="BalloonTextChar"/>
    <w:uiPriority w:val="99"/>
    <w:semiHidden/>
    <w:unhideWhenUsed/>
    <w:rsid w:val="00224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2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1c35869-6495-4b3a-952e-bc5e37f13032}" enabled="1" method="Standard" siteId="{c663f89c-ef9b-418f-bd3d-41e46c0ce068}" removed="0"/>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DHCS</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DHCS</dc:creator>
  <cp:keywords/>
  <dc:description/>
  <cp:lastModifiedBy>Johnson, Avery</cp:lastModifiedBy>
  <cp:revision>16</cp:revision>
  <dcterms:created xsi:type="dcterms:W3CDTF">2024-10-29T16:44:00Z</dcterms:created>
  <dcterms:modified xsi:type="dcterms:W3CDTF">2025-07-09T21:52:00Z</dcterms:modified>
</cp:coreProperties>
</file>